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pPr>
                    <w:pStyle w:val="49"/>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bookmarkStart w:id="1" w:name="c1"/>
                  <w:r>
                    <w:rPr>
                      <w:rFonts w:ascii="Times New Roman" w:hAnsi="Times New Roman" w:eastAsia="宋体" w:cs="Times New Roman"/>
                      <w:b/>
                      <w:w w:val="130"/>
                      <w:sz w:val="96"/>
                      <w:lang w:val="en-US" w:eastAsia="zh-CN" w:bidi="ar-SA"/>
                    </w:rPr>
                    <w:fldChar w:fldCharType="begin">
                      <w:ffData>
                        <w:name w:val="c1"/>
                        <w:enabled/>
                        <w:calcOnExit w:val="0"/>
                        <w:textInput>
                          <w:default w:val="AHFIA"/>
                          <w:maxLength w:val="7"/>
                        </w:textInput>
                      </w:ffData>
                    </w:fldChar>
                  </w:r>
                  <w:r>
                    <w:rPr>
                      <w:rFonts w:ascii="Times New Roman" w:hAnsi="Times New Roman" w:eastAsia="宋体" w:cs="Times New Roman"/>
                      <w:b/>
                      <w:w w:val="130"/>
                      <w:sz w:val="96"/>
                      <w:lang w:val="en-US" w:eastAsia="zh-CN" w:bidi="ar-SA"/>
                    </w:rPr>
                    <w:instrText xml:space="preserve">FORMTEXT</w:instrText>
                  </w:r>
                  <w:r>
                    <w:rPr>
                      <w:rFonts w:ascii="Times New Roman" w:hAnsi="Times New Roman" w:eastAsia="宋体" w:cs="Times New Roman"/>
                      <w:b/>
                      <w:w w:val="130"/>
                      <w:sz w:val="96"/>
                      <w:lang w:val="en-US" w:eastAsia="zh-CN" w:bidi="ar-SA"/>
                    </w:rPr>
                    <w:fldChar w:fldCharType="separate"/>
                  </w:r>
                  <w:r>
                    <w:rPr>
                      <w:rFonts w:ascii="Times New Roman" w:hAnsi="Times New Roman" w:eastAsia="宋体" w:cs="Times New Roman"/>
                      <w:b/>
                      <w:w w:val="130"/>
                      <w:sz w:val="96"/>
                      <w:lang w:val="en-US" w:eastAsia="zh-CN" w:bidi="ar-SA"/>
                    </w:rPr>
                    <w:t>AHFIA</w:t>
                  </w:r>
                  <w:r>
                    <w:rPr>
                      <w:rFonts w:ascii="Times New Roman" w:hAnsi="Times New Roman" w:eastAsia="宋体" w:cs="Times New Roman"/>
                      <w:b/>
                      <w:w w:val="130"/>
                      <w:sz w:val="96"/>
                      <w:lang w:val="en-US" w:eastAsia="zh-CN" w:bidi="ar-SA"/>
                    </w:rPr>
                    <w:fldChar w:fldCharType="end"/>
                  </w:r>
                  <w:bookmarkEnd w:id="1"/>
                </w:p>
              </w:tc>
            </w:tr>
          </w:tbl>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pPr>
        <w:pStyle w:val="50"/>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pPr>
        <w:pStyle w:val="195"/>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AHFI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AHFIA</w:t>
      </w:r>
      <w:r>
        <w:rPr>
          <w:rFonts w:ascii="黑体" w:hAnsi="Times New Roman" w:eastAsia="黑体" w:cs="Times New Roman"/>
          <w:bCs/>
          <w:sz w:val="28"/>
          <w:szCs w:val="28"/>
          <w:lang w:val="en-US" w:eastAsia="zh-CN" w:bidi="ar-SA"/>
        </w:rP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bookmarkStart w:id="9" w:name="CSTD_NAME"/>
      <w:r>
        <w:rPr>
          <w:rFonts w:ascii="黑体" w:hAnsi="黑体" w:eastAsia="黑体" w:cs="Times New Roman"/>
          <w:bCs/>
          <w:sz w:val="52"/>
          <w:lang w:val="en-US" w:eastAsia="zh-CN" w:bidi="ar-SA"/>
        </w:rPr>
        <w:fldChar w:fldCharType="begin">
          <w:ffData>
            <w:name w:val="CSTD_NAME"/>
            <w:enabled/>
            <w:calcOnExit w:val="0"/>
            <w:textInput>
              <w:default w:val="柔和型白酒"/>
            </w:textInput>
          </w:ffData>
        </w:fldChar>
      </w:r>
      <w:r>
        <w:rPr>
          <w:rFonts w:ascii="黑体" w:hAnsi="黑体" w:eastAsia="黑体" w:cs="Times New Roman"/>
          <w:bCs/>
          <w:sz w:val="52"/>
          <w:lang w:val="en-US" w:eastAsia="zh-CN" w:bidi="ar-SA"/>
        </w:rPr>
        <w:instrText xml:space="preserve">FORMTEXT</w:instrText>
      </w:r>
      <w:r>
        <w:rPr>
          <w:rFonts w:ascii="黑体" w:hAnsi="黑体" w:eastAsia="黑体" w:cs="Times New Roman"/>
          <w:bCs/>
          <w:sz w:val="52"/>
          <w:lang w:val="en-US" w:eastAsia="zh-CN" w:bidi="ar-SA"/>
        </w:rPr>
        <w:fldChar w:fldCharType="separate"/>
      </w:r>
      <w:r>
        <w:rPr>
          <w:rFonts w:ascii="黑体" w:hAnsi="黑体" w:eastAsia="黑体" w:cs="Times New Roman"/>
          <w:bCs/>
          <w:sz w:val="52"/>
          <w:lang w:val="en-US" w:eastAsia="zh-CN" w:bidi="ar-SA"/>
        </w:rPr>
        <w:t>柔和型白酒</w:t>
      </w:r>
      <w:r>
        <w:rPr>
          <w:rFonts w:ascii="黑体" w:hAnsi="黑体" w:eastAsia="黑体" w:cs="Times New Roman"/>
          <w:bCs/>
          <w:sz w:val="52"/>
          <w:lang w:val="en-US" w:eastAsia="zh-CN" w:bidi="ar-SA"/>
        </w:rP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bookmarkStart w:id="10" w:name="下拉1"/>
      <w:r>
        <w:rPr>
          <w:rFonts w:hint="eastAsia" w:cs="Times New Roman"/>
          <w:b/>
          <w:bCs/>
          <w:sz w:val="24"/>
          <w:szCs w:val="28"/>
          <w:lang w:val="en-US" w:eastAsia="zh-CN" w:bidi="ar-SA"/>
        </w:rPr>
        <w:t>征求意见稿</w:t>
      </w:r>
      <w:r>
        <w:rPr>
          <w:rFonts w:ascii="Times New Roman" w:hAnsi="Times New Roman" w:eastAsia="宋体" w:cs="Times New Roman"/>
          <w:sz w:val="24"/>
          <w:szCs w:val="28"/>
          <w:lang w:val="en-US" w:eastAsia="zh-CN" w:bidi="ar-SA"/>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rFonts w:ascii="Times New Roman" w:hAnsi="Times New Roman" w:eastAsia="宋体" w:cs="Times New Roman"/>
          <w:sz w:val="24"/>
          <w:szCs w:val="28"/>
          <w:lang w:val="en-US" w:eastAsia="zh-CN" w:bidi="ar-SA"/>
        </w:rPr>
        <w:instrText xml:space="preserve">FORMDROPDOWN</w:instrText>
      </w:r>
      <w:r>
        <w:rPr>
          <w:rFonts w:ascii="Times New Roman" w:hAnsi="Times New Roman" w:eastAsia="宋体" w:cs="Times New Roman"/>
          <w:sz w:val="24"/>
          <w:szCs w:val="28"/>
          <w:lang w:val="en-US" w:eastAsia="zh-CN" w:bidi="ar-SA"/>
        </w:rPr>
        <w:fldChar w:fldCharType="separate"/>
      </w:r>
      <w:r>
        <w:rPr>
          <w:rFonts w:ascii="Times New Roman" w:hAnsi="Times New Roman" w:eastAsia="宋体" w:cs="Times New Roman"/>
          <w:sz w:val="24"/>
          <w:szCs w:val="28"/>
          <w:lang w:val="en-US" w:eastAsia="zh-CN" w:bidi="ar-SA"/>
        </w:rPr>
        <w:fldChar w:fldCharType="end"/>
      </w:r>
      <w:bookmarkEnd w:id="10"/>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pPr>
        <w:pStyle w:val="89"/>
        <w:spacing w:before="900" w:after="360"/>
      </w:pPr>
      <w:bookmarkStart w:id="20" w:name="BookMark2"/>
      <w:r>
        <w:rPr>
          <w:spacing w:val="320"/>
        </w:rPr>
        <w:t>前</w:t>
      </w:r>
      <w:r>
        <w:t>言</w:t>
      </w:r>
    </w:p>
    <w:p>
      <w:pPr>
        <w:pStyle w:val="56"/>
        <w:ind w:firstLine="420"/>
      </w:pPr>
      <w:r>
        <w:rPr>
          <w:rFonts w:hint="eastAsia"/>
        </w:rPr>
        <w:t>本文件按照GB/T 1.1—2020《标准化工作导则  第1部分：标准化文件的结构和起草规则》的规定起草。</w:t>
      </w:r>
    </w:p>
    <w:p>
      <w:pPr>
        <w:pStyle w:val="56"/>
        <w:ind w:firstLine="420"/>
        <w:rPr>
          <w:rFonts w:hint="eastAsia"/>
        </w:rPr>
      </w:pPr>
      <w:r>
        <w:rPr>
          <w:rFonts w:hint="eastAsia"/>
        </w:rPr>
        <w:t>本文件由</w:t>
      </w:r>
      <w:r>
        <w:rPr>
          <w:rFonts w:hint="eastAsia"/>
          <w:lang w:eastAsia="zh-CN"/>
        </w:rPr>
        <w:t>安徽金种子酒业</w:t>
      </w:r>
      <w:r>
        <w:rPr>
          <w:rFonts w:hint="eastAsia"/>
          <w:lang w:val="en-US" w:eastAsia="zh-CN"/>
        </w:rPr>
        <w:t>股份</w:t>
      </w:r>
      <w:r>
        <w:rPr>
          <w:rFonts w:hint="eastAsia"/>
          <w:lang w:eastAsia="zh-CN"/>
        </w:rPr>
        <w:t>有限公司</w:t>
      </w:r>
      <w:r>
        <w:rPr>
          <w:rFonts w:hint="eastAsia"/>
        </w:rPr>
        <w:t>提出。</w:t>
      </w:r>
    </w:p>
    <w:p>
      <w:pPr>
        <w:pStyle w:val="56"/>
        <w:ind w:firstLine="420"/>
        <w:rPr>
          <w:rFonts w:hint="eastAsia"/>
        </w:rPr>
      </w:pPr>
      <w:r>
        <w:rPr>
          <w:rFonts w:hint="eastAsia"/>
        </w:rPr>
        <w:t>本文件由</w:t>
      </w:r>
      <w:r>
        <w:rPr>
          <w:rFonts w:hint="eastAsia"/>
          <w:lang w:eastAsia="zh-CN"/>
        </w:rPr>
        <w:t>安徽省食品行业协会</w:t>
      </w:r>
      <w:r>
        <w:rPr>
          <w:rFonts w:hint="eastAsia"/>
        </w:rPr>
        <w:t>归口。</w:t>
      </w:r>
    </w:p>
    <w:p>
      <w:pPr>
        <w:pStyle w:val="56"/>
        <w:ind w:firstLine="420"/>
        <w:rPr>
          <w:rFonts w:hint="eastAsia"/>
          <w:lang w:eastAsia="zh-CN"/>
        </w:rPr>
      </w:pPr>
      <w:r>
        <w:rPr>
          <w:rFonts w:hint="eastAsia"/>
        </w:rPr>
        <w:t>本文件起草单位：安徽金种子酒业股份有限公司、</w:t>
      </w:r>
      <w:r>
        <w:rPr>
          <w:rFonts w:hint="eastAsia"/>
          <w:lang w:eastAsia="zh-CN"/>
        </w:rPr>
        <w:t>安徽国科检测科技有限公司。</w:t>
      </w:r>
    </w:p>
    <w:p>
      <w:pPr>
        <w:pStyle w:val="56"/>
        <w:ind w:firstLine="420"/>
        <w:rPr>
          <w:rFonts w:hint="eastAsia"/>
          <w:lang w:eastAsia="zh-CN"/>
        </w:rPr>
      </w:pPr>
      <w:r>
        <w:rPr>
          <w:rFonts w:hint="eastAsia"/>
          <w:lang w:eastAsia="zh-CN"/>
        </w:rPr>
        <w:t>本文件主要起草人：杨红文、谢国排、程浩、彭兵、</w:t>
      </w:r>
      <w:r>
        <w:rPr>
          <w:rFonts w:hint="eastAsia"/>
          <w:lang w:val="en-US" w:eastAsia="zh-CN"/>
        </w:rPr>
        <w:t>吴宏萍</w:t>
      </w:r>
      <w:r>
        <w:rPr>
          <w:rFonts w:hint="eastAsia"/>
          <w:lang w:eastAsia="zh-CN"/>
        </w:rPr>
        <w:t>、巩晓、水新宝、</w:t>
      </w:r>
      <w:r>
        <w:rPr>
          <w:rFonts w:hint="eastAsia"/>
          <w:lang w:val="en-US" w:eastAsia="zh-CN"/>
        </w:rPr>
        <w:t>刘曼曼、</w:t>
      </w:r>
      <w:r>
        <w:rPr>
          <w:rFonts w:hint="eastAsia"/>
          <w:lang w:eastAsia="zh-CN"/>
        </w:rPr>
        <w:t>高柱、徐非、孙晴、王书芹。</w:t>
      </w:r>
    </w:p>
    <w:p>
      <w:pPr>
        <w:pStyle w:val="56"/>
        <w:ind w:firstLine="420"/>
      </w:pPr>
    </w:p>
    <w:p>
      <w:pPr>
        <w:pStyle w:val="56"/>
        <w:ind w:firstLine="42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20"/>
    <w:p>
      <w:pPr>
        <w:spacing w:line="20" w:lineRule="exact"/>
        <w:jc w:val="center"/>
        <w:rPr>
          <w:rFonts w:ascii="黑体" w:hAnsi="黑体" w:eastAsia="黑体"/>
          <w:sz w:val="32"/>
          <w:szCs w:val="32"/>
        </w:rPr>
      </w:pPr>
      <w:bookmarkStart w:id="21" w:name="BookMark4"/>
    </w:p>
    <w:p>
      <w:pPr>
        <w:spacing w:line="20" w:lineRule="exact"/>
        <w:jc w:val="center"/>
        <w:rPr>
          <w:rFonts w:ascii="黑体" w:hAnsi="黑体" w:eastAsia="黑体"/>
          <w:sz w:val="32"/>
          <w:szCs w:val="32"/>
        </w:rPr>
      </w:pPr>
    </w:p>
    <w:sdt>
      <w:sdtPr>
        <w:tag w:val="NEW_STAND_NAME"/>
        <w:id w:val="595910757"/>
        <w:lock w:val="sdtLocked"/>
        <w:placeholder>
          <w:docPart w:val="1FD5B01D296949A4B0BD7BA44C611828"/>
        </w:placeholder>
      </w:sdtPr>
      <w:sdtContent>
        <w:p>
          <w:pPr>
            <w:pStyle w:val="177"/>
          </w:pPr>
          <w:bookmarkStart w:id="22" w:name="NEW_STAND_NAME"/>
          <w:r>
            <w:rPr>
              <w:rFonts w:hint="eastAsia"/>
              <w:lang w:eastAsia="zh-CN"/>
            </w:rPr>
            <w:t>柔和型白酒</w:t>
          </w:r>
        </w:p>
      </w:sdtContent>
    </w:sdt>
    <w:bookmarkEnd w:id="22"/>
    <w:p>
      <w:pPr>
        <w:pStyle w:val="104"/>
        <w:spacing w:before="240" w:after="240"/>
      </w:pPr>
      <w:bookmarkStart w:id="23" w:name="_Toc17233325"/>
      <w:bookmarkStart w:id="24" w:name="_Toc97192964"/>
      <w:bookmarkStart w:id="25" w:name="_Toc26986771"/>
      <w:bookmarkStart w:id="26" w:name="_Toc26648465"/>
      <w:bookmarkStart w:id="27" w:name="_Toc26718930"/>
      <w:bookmarkStart w:id="28" w:name="_Toc24884211"/>
      <w:bookmarkStart w:id="29" w:name="_Toc26986530"/>
      <w:bookmarkStart w:id="30" w:name="_Toc17233333"/>
      <w:bookmarkStart w:id="31" w:name="_Toc24884218"/>
      <w:r>
        <w:rPr>
          <w:rFonts w:hint="eastAsia"/>
        </w:rPr>
        <w:t>范围</w:t>
      </w:r>
      <w:bookmarkEnd w:id="23"/>
      <w:bookmarkEnd w:id="24"/>
      <w:bookmarkEnd w:id="25"/>
      <w:bookmarkEnd w:id="26"/>
      <w:bookmarkEnd w:id="27"/>
      <w:bookmarkEnd w:id="28"/>
      <w:bookmarkEnd w:id="29"/>
      <w:bookmarkEnd w:id="30"/>
      <w:bookmarkEnd w:id="31"/>
    </w:p>
    <w:p>
      <w:pPr>
        <w:pStyle w:val="56"/>
        <w:ind w:firstLine="420"/>
        <w:rPr>
          <w:rFonts w:hint="eastAsia"/>
          <w:lang w:eastAsia="zh-CN"/>
        </w:rPr>
      </w:pPr>
      <w:bookmarkStart w:id="32" w:name="_Toc17233326"/>
      <w:bookmarkStart w:id="33" w:name="_Toc24884212"/>
      <w:bookmarkStart w:id="34" w:name="_Toc17233334"/>
      <w:bookmarkStart w:id="35" w:name="_Toc24884219"/>
      <w:bookmarkStart w:id="36" w:name="_Toc26648466"/>
      <w:r>
        <w:rPr>
          <w:rFonts w:hint="eastAsia"/>
          <w:lang w:eastAsia="zh-CN"/>
        </w:rPr>
        <w:t>本文件规定了柔和型白酒的术语与定义、产品分类、要求、试验方法、检验规则和标志、包装、运输、贮</w:t>
      </w:r>
      <w:r>
        <w:rPr>
          <w:rFonts w:hint="eastAsia"/>
          <w:lang w:val="en-US" w:eastAsia="zh-CN"/>
        </w:rPr>
        <w:t>存</w:t>
      </w:r>
      <w:r>
        <w:rPr>
          <w:rFonts w:hint="eastAsia"/>
          <w:lang w:eastAsia="zh-CN"/>
        </w:rPr>
        <w:t>。</w:t>
      </w:r>
    </w:p>
    <w:p>
      <w:pPr>
        <w:pStyle w:val="56"/>
        <w:ind w:firstLine="420"/>
        <w:rPr>
          <w:rFonts w:hint="eastAsia"/>
          <w:lang w:eastAsia="zh-CN"/>
        </w:rPr>
      </w:pPr>
      <w:r>
        <w:rPr>
          <w:rFonts w:hint="eastAsia"/>
          <w:lang w:eastAsia="zh-CN"/>
        </w:rPr>
        <w:t>本文件适用于柔和型白酒的生产、检验与销售。</w:t>
      </w:r>
    </w:p>
    <w:p>
      <w:pPr>
        <w:pStyle w:val="104"/>
        <w:spacing w:before="240" w:after="240"/>
      </w:pPr>
      <w:bookmarkStart w:id="37" w:name="_Toc26986772"/>
      <w:bookmarkStart w:id="38" w:name="_Toc97192965"/>
      <w:bookmarkStart w:id="39" w:name="_Toc26718931"/>
      <w:bookmarkStart w:id="40" w:name="_Toc26986531"/>
      <w:r>
        <w:rPr>
          <w:rFonts w:hint="eastAsia"/>
        </w:rPr>
        <w:t>规范性引用文件</w:t>
      </w:r>
      <w:bookmarkEnd w:id="32"/>
      <w:bookmarkEnd w:id="33"/>
      <w:bookmarkEnd w:id="34"/>
      <w:bookmarkEnd w:id="35"/>
      <w:bookmarkEnd w:id="36"/>
      <w:bookmarkEnd w:id="37"/>
      <w:bookmarkEnd w:id="38"/>
      <w:bookmarkEnd w:id="39"/>
      <w:bookmarkEnd w:id="40"/>
    </w:p>
    <w:sdt>
      <w:sdtPr>
        <w:rPr>
          <w:rFonts w:hint="eastAsia"/>
        </w:rPr>
        <w:id w:val="715848253"/>
        <w:placeholder>
          <w:docPart w:val="3FD4BD2388D24D1FADD3435862AD77C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rPr>
          <w:rFonts w:hint="eastAsia"/>
        </w:rPr>
      </w:pPr>
      <w:r>
        <w:t>GB 5009.225</w:t>
      </w:r>
      <w:r>
        <w:rPr>
          <w:rFonts w:hint="eastAsia"/>
        </w:rPr>
        <w:t xml:space="preserve"> </w:t>
      </w:r>
      <w:r>
        <w:rPr>
          <w:rFonts w:hint="eastAsia"/>
          <w:lang w:val="en-US" w:eastAsia="zh-CN"/>
        </w:rPr>
        <w:t xml:space="preserve">   </w:t>
      </w:r>
      <w:r>
        <w:rPr>
          <w:rFonts w:hint="eastAsia"/>
        </w:rPr>
        <w:t>食品安全国家标准 酒中乙醇浓度的测定</w:t>
      </w:r>
    </w:p>
    <w:p>
      <w:pPr>
        <w:pStyle w:val="56"/>
        <w:ind w:firstLine="420"/>
        <w:rPr>
          <w:rFonts w:hint="eastAsia"/>
        </w:rPr>
      </w:pPr>
      <w:r>
        <w:rPr>
          <w:rFonts w:hint="eastAsia"/>
        </w:rPr>
        <w:t>GB 12456</w:t>
      </w:r>
      <w:r>
        <w:rPr>
          <w:rFonts w:hint="eastAsia"/>
          <w:lang w:val="en-US" w:eastAsia="zh-CN"/>
        </w:rPr>
        <w:t xml:space="preserve">      </w:t>
      </w:r>
      <w:r>
        <w:rPr>
          <w:rFonts w:hint="eastAsia"/>
        </w:rPr>
        <w:t xml:space="preserve"> 食品安全国家标准 食品中总酸的测定</w:t>
      </w:r>
    </w:p>
    <w:p>
      <w:pPr>
        <w:pStyle w:val="56"/>
        <w:ind w:firstLine="420"/>
      </w:pPr>
      <w:r>
        <w:t>GB/T</w:t>
      </w:r>
      <w:r>
        <w:rPr>
          <w:rFonts w:hint="eastAsia"/>
          <w:lang w:val="en-US" w:eastAsia="zh-CN"/>
        </w:rPr>
        <w:t xml:space="preserve"> </w:t>
      </w:r>
      <w:r>
        <w:t>10345</w:t>
      </w:r>
      <w:r>
        <w:rPr>
          <w:rFonts w:hint="eastAsia"/>
        </w:rPr>
        <w:t xml:space="preserve"> </w:t>
      </w:r>
      <w:r>
        <w:rPr>
          <w:rFonts w:hint="eastAsia"/>
          <w:lang w:val="en-US" w:eastAsia="zh-CN"/>
        </w:rPr>
        <w:t xml:space="preserve">    </w:t>
      </w:r>
      <w:r>
        <w:rPr>
          <w:rFonts w:hint="eastAsia"/>
        </w:rPr>
        <w:t>白酒分析方法</w:t>
      </w:r>
    </w:p>
    <w:p>
      <w:pPr>
        <w:pStyle w:val="56"/>
        <w:ind w:firstLine="420"/>
        <w:rPr>
          <w:rFonts w:hint="eastAsia" w:eastAsia="宋体"/>
          <w:lang w:val="en-US" w:eastAsia="zh-CN"/>
        </w:rPr>
      </w:pPr>
      <w:r>
        <w:t>GB/T</w:t>
      </w:r>
      <w:r>
        <w:rPr>
          <w:rFonts w:hint="eastAsia"/>
          <w:lang w:val="en-US" w:eastAsia="zh-CN"/>
        </w:rPr>
        <w:t xml:space="preserve"> </w:t>
      </w:r>
      <w:r>
        <w:t>10346</w:t>
      </w:r>
      <w:r>
        <w:rPr>
          <w:rFonts w:hint="eastAsia"/>
        </w:rPr>
        <w:t xml:space="preserve"> </w:t>
      </w:r>
      <w:r>
        <w:rPr>
          <w:rFonts w:hint="eastAsia"/>
          <w:lang w:val="en-US" w:eastAsia="zh-CN"/>
        </w:rPr>
        <w:t xml:space="preserve">    </w:t>
      </w:r>
      <w:r>
        <w:rPr>
          <w:rFonts w:hint="eastAsia"/>
        </w:rPr>
        <w:t>白酒检验规则和标志、包装、运输、贮</w:t>
      </w:r>
      <w:r>
        <w:rPr>
          <w:rFonts w:hint="eastAsia"/>
          <w:lang w:val="en-US" w:eastAsia="zh-CN"/>
        </w:rPr>
        <w:t>存</w:t>
      </w:r>
    </w:p>
    <w:p>
      <w:pPr>
        <w:pStyle w:val="56"/>
        <w:ind w:firstLine="420"/>
      </w:pPr>
      <w:r>
        <w:t>GB/T 10781.</w:t>
      </w:r>
      <w:r>
        <w:rPr>
          <w:rFonts w:hint="eastAsia"/>
          <w:lang w:val="en-US" w:eastAsia="zh-CN"/>
        </w:rPr>
        <w:t xml:space="preserve">1  </w:t>
      </w:r>
      <w:r>
        <w:rPr>
          <w:rFonts w:hint="eastAsia"/>
        </w:rPr>
        <w:t xml:space="preserve"> 白酒质量要求 第</w:t>
      </w:r>
      <w:r>
        <w:rPr>
          <w:rFonts w:hint="eastAsia"/>
          <w:lang w:val="en-US" w:eastAsia="zh-CN"/>
        </w:rPr>
        <w:t>1</w:t>
      </w:r>
      <w:r>
        <w:rPr>
          <w:rFonts w:hint="eastAsia"/>
        </w:rPr>
        <w:t>部分：浓香型白酒</w:t>
      </w:r>
    </w:p>
    <w:p>
      <w:pPr>
        <w:pStyle w:val="56"/>
        <w:ind w:firstLine="420"/>
        <w:rPr>
          <w:rFonts w:hint="default"/>
          <w:lang w:val="en-US"/>
        </w:rPr>
      </w:pPr>
      <w:r>
        <w:rPr>
          <w:rFonts w:hint="eastAsia"/>
          <w:lang w:val="en-US" w:eastAsia="zh-CN"/>
        </w:rPr>
        <w:t>GB/T 15109     白酒工业术语</w:t>
      </w:r>
    </w:p>
    <w:p>
      <w:pPr>
        <w:pStyle w:val="56"/>
        <w:ind w:firstLine="420"/>
      </w:pPr>
      <w:r>
        <w:t>JJF 1070  定量包装商品净含量计量检验规则</w:t>
      </w:r>
    </w:p>
    <w:p>
      <w:pPr>
        <w:pStyle w:val="56"/>
        <w:ind w:firstLine="420"/>
      </w:pPr>
      <w:r>
        <w:t>定量包装商品计量监督管理办法</w:t>
      </w:r>
      <w:r>
        <w:rPr>
          <w:rFonts w:hint="eastAsia"/>
          <w:lang w:eastAsia="zh-CN"/>
        </w:rPr>
        <w:t>（</w:t>
      </w:r>
      <w:r>
        <w:t>国家质量监督检验检疫总局令 [2005] 第75号</w:t>
      </w:r>
      <w:r>
        <w:rPr>
          <w:rFonts w:hint="eastAsia"/>
          <w:lang w:eastAsia="zh-CN"/>
        </w:rPr>
        <w:t>）</w:t>
      </w:r>
      <w:r>
        <w:t xml:space="preserve"> </w:t>
      </w:r>
    </w:p>
    <w:p>
      <w:pPr>
        <w:pStyle w:val="104"/>
        <w:spacing w:before="240" w:after="240"/>
      </w:pPr>
      <w:bookmarkStart w:id="41" w:name="_Toc97192966"/>
      <w:r>
        <w:rPr>
          <w:rFonts w:hint="eastAsia"/>
          <w:szCs w:val="21"/>
        </w:rPr>
        <w:t>术语和定义</w:t>
      </w:r>
      <w:bookmarkEnd w:id="41"/>
    </w:p>
    <w:sdt>
      <w:sdtPr>
        <w:rPr>
          <w:rFonts w:hint="default"/>
          <w:szCs w:val="21"/>
          <w:lang w:val="en-US"/>
        </w:rPr>
        <w:id w:val="-1909835108"/>
        <w:placeholder>
          <w:docPart w:val="FEE3CBEA20E645ECB3E9834BFE62100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szCs w:val="21"/>
          <w:lang w:val="en-US"/>
        </w:rPr>
      </w:sdtEndPr>
      <w:sdtContent>
        <w:p>
          <w:pPr>
            <w:pStyle w:val="104"/>
            <w:numPr>
              <w:ilvl w:val="1"/>
              <w:numId w:val="0"/>
            </w:numPr>
            <w:spacing w:before="240" w:after="240"/>
            <w:ind w:leftChars="0"/>
            <w:rPr>
              <w:rFonts w:hint="eastAsia"/>
              <w:szCs w:val="21"/>
            </w:rPr>
          </w:pPr>
          <w:bookmarkStart w:id="42" w:name="_Toc26986532"/>
          <w:bookmarkEnd w:id="42"/>
          <w:r>
            <w:rPr>
              <w:rFonts w:hint="eastAsia"/>
              <w:szCs w:val="21"/>
              <w:lang w:val="en-US" w:eastAsia="zh-CN"/>
            </w:rPr>
            <w:t xml:space="preserve">    </w:t>
          </w:r>
          <w:r>
            <w:rPr>
              <w:rFonts w:hint="eastAsia" w:ascii="宋体" w:hAnsi="宋体" w:eastAsia="宋体" w:cs="宋体"/>
              <w:szCs w:val="21"/>
              <w:lang w:val="en-US" w:eastAsia="zh-CN"/>
            </w:rPr>
            <w:t>GB/T 15109界定的以及以下术语和定义适用于该文件。</w:t>
          </w:r>
        </w:p>
      </w:sdtContent>
    </w:sdt>
    <w:p>
      <w:pPr>
        <w:pStyle w:val="104"/>
        <w:numPr>
          <w:ilvl w:val="1"/>
          <w:numId w:val="0"/>
        </w:numPr>
        <w:spacing w:before="240" w:after="240"/>
        <w:ind w:leftChars="0"/>
        <w:rPr>
          <w:rFonts w:hint="eastAsia"/>
          <w:szCs w:val="21"/>
          <w:lang w:val="en-US" w:eastAsia="zh-CN"/>
        </w:rPr>
      </w:pPr>
      <w:r>
        <w:rPr>
          <w:rFonts w:hint="eastAsia"/>
          <w:szCs w:val="21"/>
          <w:lang w:val="en-US" w:eastAsia="zh-CN"/>
        </w:rPr>
        <w:t>3.1 柔和型白酒</w:t>
      </w:r>
    </w:p>
    <w:p>
      <w:pPr>
        <w:ind w:firstLine="420" w:firstLineChars="200"/>
        <w:rPr>
          <w:rFonts w:hint="eastAsia"/>
          <w:lang w:val="en-US" w:eastAsia="zh-CN"/>
        </w:rPr>
      </w:pPr>
      <w:r>
        <w:rPr>
          <w:rFonts w:hint="eastAsia"/>
        </w:rPr>
        <w:t>以高粱、</w:t>
      </w:r>
      <w:r>
        <w:rPr>
          <w:rFonts w:hint="eastAsia"/>
          <w:lang w:val="en-US" w:eastAsia="zh-CN"/>
        </w:rPr>
        <w:t>小麦、</w:t>
      </w:r>
      <w:r>
        <w:rPr>
          <w:rFonts w:hint="eastAsia"/>
        </w:rPr>
        <w:t>大米等为原料，</w:t>
      </w:r>
      <w:r>
        <w:rPr>
          <w:rFonts w:hint="eastAsia"/>
          <w:lang w:val="en-US" w:eastAsia="zh-CN"/>
        </w:rPr>
        <w:t>分别经中温大曲糖化泥窖固态发酵和小曲糖化不锈钢发酵槽固态发酵，制得浓香型白酒、小曲清香白酒，长期贮存后勾调而成的具有香气柔雅，口味协调、尾净余长的典型风格白酒。</w:t>
      </w:r>
    </w:p>
    <w:p>
      <w:pPr>
        <w:pStyle w:val="104"/>
        <w:spacing w:before="240" w:after="240"/>
        <w:rPr>
          <w:rFonts w:hint="eastAsia"/>
          <w:szCs w:val="21"/>
          <w:lang w:val="en-US" w:eastAsia="zh-CN"/>
        </w:rPr>
      </w:pPr>
      <w:r>
        <w:rPr>
          <w:rFonts w:hint="eastAsia"/>
          <w:szCs w:val="21"/>
          <w:lang w:val="en-US" w:eastAsia="zh-CN"/>
        </w:rPr>
        <w:t>产品分类</w:t>
      </w:r>
    </w:p>
    <w:p>
      <w:pPr>
        <w:pStyle w:val="56"/>
        <w:ind w:left="0" w:leftChars="0" w:firstLine="0" w:firstLineChars="0"/>
        <w:rPr>
          <w:rFonts w:hint="eastAsia"/>
          <w:szCs w:val="21"/>
          <w:lang w:val="en-US" w:eastAsia="zh-CN"/>
        </w:rPr>
      </w:pPr>
      <w:r>
        <w:rPr>
          <w:rFonts w:hint="eastAsia" w:ascii="黑体" w:hAnsi="Times New Roman" w:eastAsia="黑体" w:cs="Times New Roman"/>
          <w:sz w:val="21"/>
          <w:szCs w:val="21"/>
          <w:lang w:val="en-US" w:eastAsia="zh-CN" w:bidi="ar-SA"/>
        </w:rPr>
        <w:t>4.1</w:t>
      </w:r>
      <w:r>
        <w:rPr>
          <w:rFonts w:hint="eastAsia" w:ascii="黑体" w:eastAsia="黑体" w:cs="Times New Roman"/>
          <w:sz w:val="21"/>
          <w:szCs w:val="21"/>
          <w:lang w:val="en-US" w:eastAsia="zh-CN" w:bidi="ar-SA"/>
        </w:rPr>
        <w:t xml:space="preserve"> </w:t>
      </w:r>
      <w:r>
        <w:rPr>
          <w:rFonts w:hint="eastAsia"/>
          <w:szCs w:val="21"/>
          <w:lang w:val="en-US" w:eastAsia="zh-CN"/>
        </w:rPr>
        <w:t>产品的酒精度为：25%vol≤酒精度≤68%vol。</w:t>
      </w:r>
    </w:p>
    <w:p>
      <w:pPr>
        <w:pStyle w:val="56"/>
        <w:ind w:left="0" w:leftChars="0" w:firstLine="0" w:firstLineChars="0"/>
        <w:rPr>
          <w:rFonts w:hint="default"/>
          <w:szCs w:val="21"/>
          <w:lang w:val="en-US" w:eastAsia="zh-CN"/>
        </w:rPr>
      </w:pPr>
      <w:r>
        <w:rPr>
          <w:rFonts w:hint="eastAsia" w:ascii="黑体" w:hAnsi="Times New Roman" w:eastAsia="黑体" w:cs="Times New Roman"/>
          <w:sz w:val="21"/>
          <w:szCs w:val="21"/>
          <w:lang w:val="en-US" w:eastAsia="zh-CN" w:bidi="ar-SA"/>
        </w:rPr>
        <w:t xml:space="preserve">4.2 </w:t>
      </w:r>
      <w:r>
        <w:rPr>
          <w:rFonts w:hint="eastAsia"/>
          <w:szCs w:val="21"/>
          <w:lang w:val="en-US" w:eastAsia="zh-CN"/>
        </w:rPr>
        <w:t>按产品质量等级分为：优级、一级。</w:t>
      </w:r>
      <w:bookmarkStart w:id="43" w:name="_GoBack"/>
      <w:bookmarkEnd w:id="43"/>
    </w:p>
    <w:p>
      <w:pPr>
        <w:pStyle w:val="104"/>
        <w:spacing w:before="240" w:after="240"/>
        <w:rPr>
          <w:rFonts w:hint="default"/>
          <w:szCs w:val="21"/>
          <w:lang w:val="en-US" w:eastAsia="zh-CN"/>
        </w:rPr>
      </w:pPr>
      <w:r>
        <w:rPr>
          <w:rFonts w:hint="eastAsia"/>
          <w:szCs w:val="21"/>
          <w:lang w:val="en-US" w:eastAsia="zh-CN"/>
        </w:rPr>
        <w:t>要求</w:t>
      </w:r>
    </w:p>
    <w:p>
      <w:pPr>
        <w:pStyle w:val="104"/>
        <w:numPr>
          <w:ilvl w:val="1"/>
          <w:numId w:val="0"/>
        </w:numPr>
        <w:spacing w:before="240" w:after="240"/>
        <w:ind w:leftChars="0"/>
        <w:rPr>
          <w:rFonts w:hint="eastAsia"/>
          <w:szCs w:val="21"/>
          <w:lang w:val="en-US" w:eastAsia="zh-CN"/>
        </w:rPr>
      </w:pPr>
      <w:r>
        <w:rPr>
          <w:rFonts w:hint="eastAsia"/>
          <w:szCs w:val="21"/>
          <w:lang w:val="en-US" w:eastAsia="zh-CN"/>
        </w:rPr>
        <w:t>5.1感官要求</w:t>
      </w:r>
    </w:p>
    <w:p>
      <w:pPr>
        <w:pStyle w:val="56"/>
        <w:rPr>
          <w:rFonts w:hint="eastAsia"/>
          <w:szCs w:val="21"/>
          <w:lang w:val="en-US" w:eastAsia="zh-CN"/>
        </w:rPr>
      </w:pPr>
      <w:r>
        <w:rPr>
          <w:rFonts w:hint="eastAsia"/>
          <w:szCs w:val="21"/>
          <w:lang w:val="en-US" w:eastAsia="zh-CN"/>
        </w:rPr>
        <w:t>应符合表1的规定。</w:t>
      </w:r>
    </w:p>
    <w:p>
      <w:pPr>
        <w:pStyle w:val="56"/>
        <w:jc w:val="center"/>
        <w:rPr>
          <w:rFonts w:hint="eastAsia" w:ascii="黑体" w:hAnsi="黑体" w:eastAsia="黑体" w:cs="黑体"/>
          <w:szCs w:val="21"/>
          <w:lang w:val="en-US" w:eastAsia="zh-CN"/>
        </w:rPr>
      </w:pPr>
      <w:r>
        <w:rPr>
          <w:rFonts w:hint="eastAsia" w:ascii="黑体" w:hAnsi="黑体" w:eastAsia="黑体" w:cs="黑体"/>
          <w:szCs w:val="21"/>
          <w:lang w:val="en-US" w:eastAsia="zh-CN"/>
        </w:rPr>
        <w:t>表1 感官要求</w:t>
      </w:r>
    </w:p>
    <w:tbl>
      <w:tblPr>
        <w:tblStyle w:val="27"/>
        <w:tblW w:w="8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3185"/>
        <w:gridCol w:w="775"/>
        <w:gridCol w:w="2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8" w:type="dxa"/>
            <w:vAlign w:val="center"/>
          </w:tcPr>
          <w:p>
            <w:pPr>
              <w:jc w:val="center"/>
              <w:rPr>
                <w:rFonts w:hint="eastAsia" w:ascii="黑体" w:hAnsi="黑体" w:eastAsia="黑体" w:cs="黑体"/>
                <w:color w:val="000000"/>
                <w:kern w:val="0"/>
                <w:sz w:val="21"/>
                <w:szCs w:val="21"/>
              </w:rPr>
            </w:pPr>
            <w:r>
              <w:rPr>
                <w:rFonts w:hint="eastAsia" w:ascii="黑体" w:hAnsi="黑体" w:eastAsia="黑体" w:cs="黑体"/>
                <w:color w:val="000000"/>
                <w:kern w:val="0"/>
                <w:sz w:val="21"/>
                <w:szCs w:val="21"/>
              </w:rPr>
              <w:t>项目</w:t>
            </w:r>
          </w:p>
        </w:tc>
        <w:tc>
          <w:tcPr>
            <w:tcW w:w="3960" w:type="dxa"/>
            <w:gridSpan w:val="2"/>
            <w:vAlign w:val="center"/>
          </w:tcPr>
          <w:p>
            <w:pPr>
              <w:jc w:val="center"/>
              <w:rPr>
                <w:rFonts w:hint="eastAsia" w:ascii="黑体" w:hAnsi="黑体" w:eastAsia="黑体" w:cs="黑体"/>
                <w:color w:val="000000"/>
                <w:kern w:val="0"/>
                <w:sz w:val="21"/>
                <w:szCs w:val="21"/>
              </w:rPr>
            </w:pPr>
            <w:r>
              <w:rPr>
                <w:rFonts w:hint="eastAsia" w:ascii="黑体" w:hAnsi="黑体" w:eastAsia="黑体" w:cs="黑体"/>
                <w:color w:val="000000"/>
                <w:kern w:val="0"/>
                <w:sz w:val="21"/>
                <w:szCs w:val="21"/>
              </w:rPr>
              <w:t>优级</w:t>
            </w:r>
          </w:p>
        </w:tc>
        <w:tc>
          <w:tcPr>
            <w:tcW w:w="2951" w:type="dxa"/>
            <w:vAlign w:val="center"/>
          </w:tcPr>
          <w:p>
            <w:pPr>
              <w:jc w:val="center"/>
              <w:rPr>
                <w:rFonts w:hint="eastAsia" w:ascii="黑体" w:hAnsi="黑体" w:eastAsia="黑体" w:cs="黑体"/>
                <w:color w:val="000000"/>
                <w:kern w:val="0"/>
                <w:sz w:val="21"/>
                <w:szCs w:val="21"/>
              </w:rPr>
            </w:pPr>
            <w:r>
              <w:rPr>
                <w:rFonts w:hint="eastAsia" w:ascii="黑体" w:hAnsi="黑体" w:eastAsia="黑体" w:cs="黑体"/>
                <w:color w:val="000000"/>
                <w:kern w:val="0"/>
                <w:sz w:val="21"/>
                <w:szCs w:val="21"/>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8" w:type="dxa"/>
            <w:vAlign w:val="center"/>
          </w:tcPr>
          <w:p>
            <w:pPr>
              <w:jc w:val="center"/>
              <w:rPr>
                <w:rFonts w:hint="default" w:ascii="宋体" w:hAnsi="宋体" w:eastAsia="宋体"/>
                <w:color w:val="000000"/>
                <w:kern w:val="0"/>
                <w:sz w:val="18"/>
                <w:szCs w:val="18"/>
                <w:lang w:val="en-US" w:eastAsia="zh-CN"/>
              </w:rPr>
            </w:pPr>
            <w:r>
              <w:rPr>
                <w:rFonts w:hint="eastAsia" w:ascii="宋体" w:hAnsi="宋体"/>
                <w:color w:val="000000"/>
                <w:kern w:val="0"/>
                <w:sz w:val="18"/>
                <w:szCs w:val="18"/>
              </w:rPr>
              <w:t>色泽</w:t>
            </w:r>
            <w:r>
              <w:rPr>
                <w:rFonts w:hint="eastAsia" w:ascii="宋体" w:hAnsi="宋体"/>
                <w:color w:val="000000"/>
                <w:kern w:val="0"/>
                <w:sz w:val="18"/>
                <w:szCs w:val="18"/>
                <w:lang w:val="en-US" w:eastAsia="zh-CN"/>
              </w:rPr>
              <w:t>和外观</w:t>
            </w:r>
          </w:p>
        </w:tc>
        <w:tc>
          <w:tcPr>
            <w:tcW w:w="6911" w:type="dxa"/>
            <w:gridSpan w:val="3"/>
            <w:vAlign w:val="center"/>
          </w:tcPr>
          <w:p>
            <w:pPr>
              <w:jc w:val="center"/>
              <w:rPr>
                <w:rFonts w:ascii="宋体" w:hAnsi="宋体"/>
                <w:color w:val="000000"/>
                <w:kern w:val="0"/>
                <w:sz w:val="18"/>
                <w:szCs w:val="18"/>
              </w:rPr>
            </w:pPr>
            <w:r>
              <w:rPr>
                <w:rFonts w:hint="eastAsia" w:ascii="宋体" w:hAnsi="宋体"/>
                <w:color w:val="000000"/>
                <w:kern w:val="0"/>
                <w:sz w:val="18"/>
                <w:szCs w:val="18"/>
              </w:rPr>
              <w:t>无色或微黄，清亮透明，无悬浮物，无沉淀</w:t>
            </w:r>
            <w:r>
              <w:rPr>
                <w:rFonts w:hint="eastAsia" w:ascii="宋体" w:hAnsi="宋体"/>
                <w:color w:val="000000"/>
                <w:kern w:val="0"/>
                <w:sz w:val="18"/>
                <w:szCs w:val="18"/>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8" w:type="dxa"/>
            <w:vAlign w:val="center"/>
          </w:tcPr>
          <w:p>
            <w:pPr>
              <w:jc w:val="center"/>
              <w:rPr>
                <w:rFonts w:ascii="宋体" w:hAnsi="宋体"/>
                <w:color w:val="000000"/>
                <w:kern w:val="0"/>
                <w:sz w:val="18"/>
                <w:szCs w:val="18"/>
              </w:rPr>
            </w:pPr>
            <w:r>
              <w:rPr>
                <w:rFonts w:hint="eastAsia" w:ascii="宋体" w:hAnsi="宋体"/>
                <w:color w:val="000000"/>
                <w:kern w:val="0"/>
                <w:sz w:val="18"/>
                <w:szCs w:val="18"/>
              </w:rPr>
              <w:t>香气</w:t>
            </w:r>
          </w:p>
        </w:tc>
        <w:tc>
          <w:tcPr>
            <w:tcW w:w="3185" w:type="dxa"/>
            <w:vAlign w:val="center"/>
          </w:tcPr>
          <w:p>
            <w:pPr>
              <w:jc w:val="center"/>
              <w:rPr>
                <w:rFonts w:hint="eastAsia" w:ascii="宋体" w:hAnsi="宋体" w:eastAsia="宋体"/>
                <w:color w:val="000000"/>
                <w:kern w:val="0"/>
                <w:sz w:val="18"/>
                <w:szCs w:val="18"/>
                <w:lang w:val="en-US" w:eastAsia="zh-CN"/>
              </w:rPr>
            </w:pPr>
            <w:r>
              <w:rPr>
                <w:rFonts w:hint="eastAsia" w:ascii="宋体" w:hAnsi="宋体"/>
                <w:color w:val="000000"/>
                <w:kern w:val="0"/>
                <w:sz w:val="18"/>
                <w:szCs w:val="18"/>
                <w:lang w:eastAsia="zh-CN"/>
              </w:rPr>
              <w:t>香气</w:t>
            </w:r>
            <w:r>
              <w:rPr>
                <w:rFonts w:hint="eastAsia" w:ascii="宋体" w:hAnsi="宋体"/>
                <w:color w:val="000000"/>
                <w:kern w:val="0"/>
                <w:sz w:val="18"/>
                <w:szCs w:val="18"/>
                <w:lang w:val="en-US" w:eastAsia="zh-CN"/>
              </w:rPr>
              <w:t>柔</w:t>
            </w:r>
            <w:r>
              <w:rPr>
                <w:rFonts w:hint="eastAsia" w:ascii="宋体" w:hAnsi="宋体"/>
                <w:color w:val="000000"/>
                <w:kern w:val="0"/>
                <w:sz w:val="18"/>
                <w:szCs w:val="18"/>
              </w:rPr>
              <w:t>雅，</w:t>
            </w:r>
            <w:r>
              <w:rPr>
                <w:rFonts w:hint="eastAsia" w:ascii="宋体" w:hAnsi="宋体"/>
                <w:color w:val="000000"/>
                <w:kern w:val="0"/>
                <w:sz w:val="18"/>
                <w:szCs w:val="18"/>
                <w:lang w:val="en-US" w:eastAsia="zh-CN"/>
              </w:rPr>
              <w:t>舒畅</w:t>
            </w:r>
          </w:p>
        </w:tc>
        <w:tc>
          <w:tcPr>
            <w:tcW w:w="3726" w:type="dxa"/>
            <w:gridSpan w:val="2"/>
            <w:vAlign w:val="center"/>
          </w:tcPr>
          <w:p>
            <w:pPr>
              <w:jc w:val="center"/>
              <w:rPr>
                <w:rFonts w:hint="default" w:ascii="宋体" w:hAnsi="宋体" w:eastAsia="宋体"/>
                <w:color w:val="000000"/>
                <w:kern w:val="0"/>
                <w:sz w:val="18"/>
                <w:szCs w:val="18"/>
                <w:lang w:val="en-US" w:eastAsia="zh-CN"/>
              </w:rPr>
            </w:pPr>
            <w:r>
              <w:rPr>
                <w:rFonts w:hint="eastAsia" w:ascii="宋体" w:hAnsi="宋体"/>
                <w:color w:val="000000"/>
                <w:sz w:val="18"/>
                <w:szCs w:val="18"/>
                <w:lang w:val="en-US" w:eastAsia="zh-CN"/>
              </w:rPr>
              <w:t>香气较柔雅，舒顺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8" w:type="dxa"/>
            <w:vAlign w:val="center"/>
          </w:tcPr>
          <w:p>
            <w:pPr>
              <w:jc w:val="center"/>
              <w:rPr>
                <w:rFonts w:ascii="宋体" w:hAnsi="宋体"/>
                <w:color w:val="000000"/>
                <w:kern w:val="0"/>
                <w:sz w:val="18"/>
                <w:szCs w:val="18"/>
              </w:rPr>
            </w:pPr>
            <w:r>
              <w:rPr>
                <w:rFonts w:hint="eastAsia" w:ascii="宋体" w:hAnsi="宋体"/>
                <w:color w:val="000000"/>
                <w:kern w:val="0"/>
                <w:sz w:val="18"/>
                <w:szCs w:val="18"/>
              </w:rPr>
              <w:t>口味</w:t>
            </w:r>
          </w:p>
        </w:tc>
        <w:tc>
          <w:tcPr>
            <w:tcW w:w="3185" w:type="dxa"/>
            <w:vAlign w:val="center"/>
          </w:tcPr>
          <w:p>
            <w:pPr>
              <w:jc w:val="center"/>
              <w:rPr>
                <w:rFonts w:hint="default" w:ascii="宋体" w:hAnsi="宋体" w:eastAsia="宋体"/>
                <w:color w:val="000000"/>
                <w:kern w:val="0"/>
                <w:sz w:val="18"/>
                <w:szCs w:val="18"/>
                <w:lang w:val="en-US" w:eastAsia="zh-CN"/>
              </w:rPr>
            </w:pPr>
            <w:r>
              <w:rPr>
                <w:rFonts w:hint="eastAsia" w:ascii="宋体" w:hAnsi="宋体"/>
                <w:color w:val="000000"/>
                <w:kern w:val="0"/>
                <w:sz w:val="18"/>
                <w:szCs w:val="18"/>
              </w:rPr>
              <w:t>酒体</w:t>
            </w:r>
            <w:r>
              <w:rPr>
                <w:rFonts w:hint="eastAsia" w:ascii="宋体" w:hAnsi="宋体"/>
                <w:color w:val="000000"/>
                <w:kern w:val="0"/>
                <w:sz w:val="18"/>
                <w:szCs w:val="18"/>
                <w:lang w:val="en-US" w:eastAsia="zh-CN"/>
              </w:rPr>
              <w:t>协</w:t>
            </w:r>
            <w:r>
              <w:rPr>
                <w:rFonts w:hint="eastAsia" w:ascii="宋体" w:hAnsi="宋体"/>
                <w:color w:val="000000"/>
                <w:kern w:val="0"/>
                <w:sz w:val="18"/>
                <w:szCs w:val="18"/>
              </w:rPr>
              <w:t>调，</w:t>
            </w:r>
            <w:r>
              <w:rPr>
                <w:rFonts w:hint="eastAsia" w:ascii="宋体" w:hAnsi="宋体"/>
                <w:color w:val="000000"/>
                <w:kern w:val="0"/>
                <w:sz w:val="18"/>
                <w:szCs w:val="18"/>
                <w:lang w:val="en-US" w:eastAsia="zh-CN"/>
              </w:rPr>
              <w:t>尾净余长</w:t>
            </w:r>
          </w:p>
        </w:tc>
        <w:tc>
          <w:tcPr>
            <w:tcW w:w="3726" w:type="dxa"/>
            <w:gridSpan w:val="2"/>
            <w:vAlign w:val="center"/>
          </w:tcPr>
          <w:p>
            <w:pPr>
              <w:jc w:val="center"/>
              <w:rPr>
                <w:rFonts w:hint="default" w:ascii="宋体" w:hAnsi="宋体" w:eastAsia="宋体"/>
                <w:color w:val="000000"/>
                <w:kern w:val="0"/>
                <w:sz w:val="18"/>
                <w:szCs w:val="18"/>
                <w:lang w:val="en-US" w:eastAsia="zh-CN"/>
              </w:rPr>
            </w:pPr>
            <w:r>
              <w:rPr>
                <w:rFonts w:hint="eastAsia" w:ascii="宋体" w:hAnsi="宋体"/>
                <w:color w:val="000000"/>
                <w:kern w:val="0"/>
                <w:sz w:val="18"/>
                <w:szCs w:val="18"/>
              </w:rPr>
              <w:t>酒体</w:t>
            </w:r>
            <w:r>
              <w:rPr>
                <w:rFonts w:hint="eastAsia" w:ascii="宋体" w:hAnsi="宋体"/>
                <w:color w:val="000000"/>
                <w:kern w:val="0"/>
                <w:sz w:val="18"/>
                <w:szCs w:val="18"/>
                <w:lang w:val="en-US" w:eastAsia="zh-CN"/>
              </w:rPr>
              <w:t>较协调</w:t>
            </w:r>
            <w:r>
              <w:rPr>
                <w:rFonts w:hint="eastAsia" w:ascii="宋体" w:hAnsi="宋体"/>
                <w:color w:val="000000"/>
                <w:kern w:val="0"/>
                <w:sz w:val="18"/>
                <w:szCs w:val="18"/>
              </w:rPr>
              <w:t>，</w:t>
            </w:r>
            <w:r>
              <w:rPr>
                <w:rFonts w:hint="eastAsia" w:ascii="宋体" w:hAnsi="宋体"/>
                <w:color w:val="000000"/>
                <w:kern w:val="0"/>
                <w:sz w:val="18"/>
                <w:szCs w:val="18"/>
                <w:lang w:val="en-US" w:eastAsia="zh-CN"/>
              </w:rPr>
              <w:t>尾净较长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8" w:type="dxa"/>
            <w:vAlign w:val="center"/>
          </w:tcPr>
          <w:p>
            <w:pPr>
              <w:jc w:val="center"/>
              <w:rPr>
                <w:rFonts w:ascii="宋体" w:hAnsi="宋体"/>
                <w:color w:val="000000"/>
                <w:kern w:val="0"/>
                <w:sz w:val="18"/>
                <w:szCs w:val="18"/>
              </w:rPr>
            </w:pPr>
            <w:r>
              <w:rPr>
                <w:rFonts w:hint="eastAsia" w:ascii="宋体" w:hAnsi="宋体"/>
                <w:color w:val="000000"/>
                <w:kern w:val="0"/>
                <w:sz w:val="18"/>
                <w:szCs w:val="18"/>
              </w:rPr>
              <w:t>风格</w:t>
            </w:r>
          </w:p>
        </w:tc>
        <w:tc>
          <w:tcPr>
            <w:tcW w:w="6911" w:type="dxa"/>
            <w:gridSpan w:val="3"/>
            <w:vAlign w:val="center"/>
          </w:tcPr>
          <w:p>
            <w:pPr>
              <w:jc w:val="center"/>
              <w:rPr>
                <w:rFonts w:ascii="宋体" w:hAnsi="宋体"/>
                <w:color w:val="000000"/>
                <w:kern w:val="0"/>
                <w:sz w:val="18"/>
                <w:szCs w:val="18"/>
              </w:rPr>
            </w:pPr>
            <w:r>
              <w:rPr>
                <w:rFonts w:hint="eastAsia" w:ascii="宋体" w:hAnsi="宋体"/>
                <w:color w:val="000000"/>
                <w:kern w:val="0"/>
                <w:sz w:val="18"/>
                <w:szCs w:val="18"/>
              </w:rPr>
              <w:t>具有本品典型的风格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9" w:type="dxa"/>
            <w:gridSpan w:val="4"/>
            <w:vAlign w:val="center"/>
          </w:tcPr>
          <w:p>
            <w:pPr>
              <w:jc w:val="center"/>
              <w:rPr>
                <w:rFonts w:ascii="宋体" w:hAnsi="宋体"/>
                <w:color w:val="000000"/>
                <w:kern w:val="0"/>
                <w:sz w:val="18"/>
                <w:szCs w:val="18"/>
              </w:rPr>
            </w:pPr>
            <w:r>
              <w:rPr>
                <w:rFonts w:hint="eastAsia" w:ascii="宋体" w:hAnsi="宋体"/>
                <w:color w:val="000000"/>
                <w:kern w:val="0"/>
                <w:sz w:val="18"/>
                <w:szCs w:val="18"/>
                <w:vertAlign w:val="superscript"/>
              </w:rPr>
              <w:t xml:space="preserve">a </w:t>
            </w:r>
            <w:r>
              <w:rPr>
                <w:rFonts w:hint="eastAsia" w:ascii="宋体" w:hAnsi="宋体"/>
                <w:color w:val="000000"/>
                <w:kern w:val="0"/>
                <w:sz w:val="18"/>
                <w:szCs w:val="18"/>
              </w:rPr>
              <w:t>当酒的温度低于10℃时，允许出现白色絮状沉淀物质或失光。10℃以上</w:t>
            </w:r>
            <w:r>
              <w:rPr>
                <w:rFonts w:hint="eastAsia" w:ascii="宋体" w:hAnsi="宋体"/>
                <w:color w:val="000000"/>
                <w:kern w:val="0"/>
                <w:sz w:val="18"/>
                <w:szCs w:val="18"/>
                <w:lang w:eastAsia="zh-CN"/>
              </w:rPr>
              <w:t>时</w:t>
            </w:r>
            <w:r>
              <w:rPr>
                <w:rFonts w:hint="eastAsia" w:ascii="宋体" w:hAnsi="宋体"/>
                <w:color w:val="000000"/>
                <w:kern w:val="0"/>
                <w:sz w:val="18"/>
                <w:szCs w:val="18"/>
              </w:rPr>
              <w:t>应逐渐恢复正常。</w:t>
            </w:r>
          </w:p>
        </w:tc>
      </w:tr>
    </w:tbl>
    <w:p>
      <w:pPr>
        <w:pStyle w:val="56"/>
        <w:ind w:firstLine="420"/>
      </w:pPr>
    </w:p>
    <w:bookmarkEnd w:id="21"/>
    <w:p>
      <w:pPr>
        <w:pStyle w:val="104"/>
        <w:numPr>
          <w:ilvl w:val="1"/>
          <w:numId w:val="0"/>
        </w:numPr>
        <w:spacing w:before="240" w:after="240"/>
        <w:ind w:leftChars="0"/>
        <w:rPr>
          <w:rFonts w:hint="eastAsia"/>
          <w:szCs w:val="21"/>
          <w:lang w:val="en-US" w:eastAsia="zh-CN"/>
        </w:rPr>
      </w:pPr>
      <w:r>
        <w:rPr>
          <w:rFonts w:hint="eastAsia"/>
          <w:szCs w:val="21"/>
          <w:lang w:val="en-US" w:eastAsia="zh-CN"/>
        </w:rPr>
        <w:t>5.2 理化要求</w:t>
      </w:r>
    </w:p>
    <w:p>
      <w:pPr>
        <w:pStyle w:val="56"/>
        <w:rPr>
          <w:rFonts w:hint="eastAsia"/>
          <w:szCs w:val="21"/>
          <w:lang w:val="en-US" w:eastAsia="zh-CN"/>
        </w:rPr>
      </w:pPr>
      <w:r>
        <w:rPr>
          <w:rFonts w:hint="eastAsia"/>
          <w:szCs w:val="21"/>
          <w:lang w:val="en-US" w:eastAsia="zh-CN"/>
        </w:rPr>
        <w:t>应符合表2的规定。</w:t>
      </w:r>
    </w:p>
    <w:p>
      <w:pPr>
        <w:pStyle w:val="56"/>
        <w:jc w:val="center"/>
        <w:rPr>
          <w:rFonts w:hint="eastAsia" w:ascii="黑体" w:hAnsi="黑体" w:eastAsia="黑体" w:cs="黑体"/>
          <w:szCs w:val="21"/>
          <w:lang w:val="en-US" w:eastAsia="zh-CN"/>
        </w:rPr>
      </w:pPr>
      <w:r>
        <w:rPr>
          <w:rFonts w:hint="eastAsia" w:ascii="黑体" w:hAnsi="黑体" w:eastAsia="黑体" w:cs="黑体"/>
          <w:szCs w:val="21"/>
          <w:lang w:val="en-US" w:eastAsia="zh-CN"/>
        </w:rPr>
        <w:t>表2 理化指标</w:t>
      </w:r>
    </w:p>
    <w:p>
      <w:pPr>
        <w:pStyle w:val="56"/>
        <w:rPr>
          <w:rFonts w:hint="eastAsia"/>
          <w:sz w:val="8"/>
          <w:szCs w:val="8"/>
          <w:lang w:val="en-US" w:eastAsia="zh-CN"/>
        </w:rPr>
      </w:pPr>
    </w:p>
    <w:tbl>
      <w:tblPr>
        <w:tblStyle w:val="27"/>
        <w:tblpPr w:leftFromText="180" w:rightFromText="180" w:vertAnchor="text" w:horzAnchor="page" w:tblpX="880" w:tblpY="278"/>
        <w:tblOverlap w:val="never"/>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4"/>
        <w:gridCol w:w="1750"/>
        <w:gridCol w:w="2112"/>
        <w:gridCol w:w="2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234" w:type="dxa"/>
            <w:gridSpan w:val="2"/>
            <w:vAlign w:val="center"/>
          </w:tcPr>
          <w:p>
            <w:pPr>
              <w:jc w:val="center"/>
              <w:rPr>
                <w:rFonts w:hint="eastAsia" w:ascii="黑体" w:hAnsi="黑体" w:eastAsia="黑体" w:cs="黑体"/>
                <w:kern w:val="0"/>
                <w:sz w:val="21"/>
                <w:szCs w:val="21"/>
              </w:rPr>
            </w:pPr>
            <w:r>
              <w:rPr>
                <w:rFonts w:hint="eastAsia" w:ascii="黑体" w:hAnsi="黑体" w:eastAsia="黑体" w:cs="黑体"/>
                <w:kern w:val="0"/>
                <w:sz w:val="21"/>
                <w:szCs w:val="21"/>
              </w:rPr>
              <w:t>项目</w:t>
            </w:r>
          </w:p>
        </w:tc>
        <w:tc>
          <w:tcPr>
            <w:tcW w:w="2112" w:type="dxa"/>
            <w:vAlign w:val="center"/>
          </w:tcPr>
          <w:p>
            <w:pPr>
              <w:jc w:val="center"/>
              <w:rPr>
                <w:rFonts w:hint="eastAsia" w:ascii="黑体" w:hAnsi="黑体" w:eastAsia="黑体" w:cs="黑体"/>
                <w:kern w:val="0"/>
                <w:sz w:val="21"/>
                <w:szCs w:val="21"/>
              </w:rPr>
            </w:pPr>
            <w:r>
              <w:rPr>
                <w:rFonts w:hint="eastAsia" w:ascii="黑体" w:hAnsi="黑体" w:eastAsia="黑体" w:cs="黑体"/>
                <w:kern w:val="0"/>
                <w:sz w:val="21"/>
                <w:szCs w:val="21"/>
              </w:rPr>
              <w:t>优级</w:t>
            </w:r>
          </w:p>
        </w:tc>
        <w:tc>
          <w:tcPr>
            <w:tcW w:w="2292" w:type="dxa"/>
            <w:vAlign w:val="center"/>
          </w:tcPr>
          <w:p>
            <w:pPr>
              <w:jc w:val="center"/>
              <w:rPr>
                <w:rFonts w:hint="eastAsia" w:ascii="黑体" w:hAnsi="黑体" w:eastAsia="黑体" w:cs="黑体"/>
                <w:kern w:val="0"/>
                <w:sz w:val="21"/>
                <w:szCs w:val="21"/>
              </w:rPr>
            </w:pPr>
            <w:r>
              <w:rPr>
                <w:rFonts w:hint="eastAsia" w:ascii="黑体" w:hAnsi="黑体" w:eastAsia="黑体" w:cs="黑体"/>
                <w:kern w:val="0"/>
                <w:sz w:val="21"/>
                <w:szCs w:val="21"/>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5234" w:type="dxa"/>
            <w:gridSpan w:val="2"/>
            <w:vAlign w:val="center"/>
          </w:tcPr>
          <w:p>
            <w:pPr>
              <w:jc w:val="left"/>
              <w:rPr>
                <w:rFonts w:ascii="宋体" w:hAnsi="宋体"/>
                <w:kern w:val="0"/>
                <w:sz w:val="18"/>
                <w:szCs w:val="18"/>
              </w:rPr>
            </w:pPr>
            <w:r>
              <w:rPr>
                <w:rFonts w:hint="eastAsia" w:ascii="宋体" w:hAnsi="宋体"/>
                <w:kern w:val="0"/>
                <w:sz w:val="18"/>
                <w:szCs w:val="18"/>
              </w:rPr>
              <w:t>酒精度（20℃）/(%vol)</w:t>
            </w:r>
          </w:p>
        </w:tc>
        <w:tc>
          <w:tcPr>
            <w:tcW w:w="4404" w:type="dxa"/>
            <w:gridSpan w:val="2"/>
            <w:vAlign w:val="center"/>
          </w:tcPr>
          <w:p>
            <w:pPr>
              <w:jc w:val="center"/>
              <w:rPr>
                <w:rFonts w:hint="eastAsia" w:ascii="宋体" w:hAnsi="宋体"/>
                <w:kern w:val="0"/>
                <w:sz w:val="18"/>
                <w:szCs w:val="18"/>
                <w:lang w:val="en-US" w:eastAsia="zh-CN"/>
              </w:rPr>
            </w:pPr>
            <w:r>
              <w:rPr>
                <w:rFonts w:hint="eastAsia" w:ascii="宋体" w:hAnsi="宋体"/>
                <w:kern w:val="0"/>
                <w:sz w:val="18"/>
                <w:szCs w:val="18"/>
                <w:lang w:val="en-US" w:eastAsia="zh-CN"/>
              </w:rPr>
              <w:t>25</w:t>
            </w:r>
            <w:r>
              <w:rPr>
                <w:rFonts w:hint="eastAsia" w:ascii="宋体" w:hAnsi="宋体" w:cs="宋体"/>
                <w:kern w:val="0"/>
                <w:sz w:val="18"/>
                <w:szCs w:val="18"/>
              </w:rPr>
              <w:t>～</w:t>
            </w:r>
            <w:r>
              <w:rPr>
                <w:rFonts w:hint="eastAsia" w:ascii="宋体" w:hAnsi="宋体"/>
                <w:kern w:val="0"/>
                <w:sz w:val="18"/>
                <w:szCs w:val="18"/>
              </w:rPr>
              <w:t xml:space="preserve"> 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3484" w:type="dxa"/>
            <w:vAlign w:val="center"/>
          </w:tcPr>
          <w:p>
            <w:pPr>
              <w:ind w:left="2160" w:hanging="2160" w:hangingChars="1200"/>
              <w:jc w:val="left"/>
              <w:rPr>
                <w:rFonts w:ascii="宋体" w:hAnsi="宋体"/>
                <w:kern w:val="0"/>
                <w:sz w:val="18"/>
                <w:szCs w:val="18"/>
              </w:rPr>
            </w:pPr>
            <w:r>
              <w:rPr>
                <w:rFonts w:hint="eastAsia" w:ascii="宋体" w:hAnsi="宋体"/>
                <w:kern w:val="0"/>
                <w:sz w:val="18"/>
                <w:szCs w:val="18"/>
              </w:rPr>
              <w:t>总酸</w:t>
            </w:r>
            <w:r>
              <w:rPr>
                <w:rFonts w:hint="eastAsia" w:ascii="宋体" w:hAnsi="宋体"/>
                <w:kern w:val="0"/>
                <w:sz w:val="18"/>
                <w:szCs w:val="18"/>
                <w:vertAlign w:val="superscript"/>
                <w:lang w:val="en-US" w:eastAsia="zh-CN"/>
              </w:rPr>
              <w:t>a</w:t>
            </w:r>
            <w:r>
              <w:rPr>
                <w:rFonts w:hint="eastAsia" w:ascii="宋体" w:hAnsi="宋体"/>
                <w:kern w:val="0"/>
                <w:sz w:val="18"/>
                <w:szCs w:val="18"/>
              </w:rPr>
              <w:t xml:space="preserve">/(g/L)  </w:t>
            </w:r>
            <w:r>
              <w:rPr>
                <w:rFonts w:hint="eastAsia" w:ascii="宋体" w:hAnsi="宋体"/>
                <w:kern w:val="0"/>
                <w:sz w:val="18"/>
                <w:szCs w:val="18"/>
                <w:lang w:val="en-US" w:eastAsia="zh-CN"/>
              </w:rPr>
              <w:t xml:space="preserve">   </w:t>
            </w:r>
            <w:r>
              <w:rPr>
                <w:rFonts w:hint="eastAsia" w:ascii="宋体" w:hAnsi="宋体"/>
                <w:kern w:val="0"/>
                <w:sz w:val="18"/>
                <w:szCs w:val="18"/>
              </w:rPr>
              <w:t xml:space="preserve"> </w:t>
            </w:r>
            <w:r>
              <w:rPr>
                <w:rFonts w:hint="eastAsia" w:ascii="宋体" w:hAnsi="宋体"/>
                <w:kern w:val="0"/>
                <w:sz w:val="18"/>
                <w:szCs w:val="18"/>
                <w:lang w:val="en-US" w:eastAsia="zh-CN"/>
              </w:rPr>
              <w:t xml:space="preserve"> </w:t>
            </w:r>
            <w:r>
              <w:rPr>
                <w:rFonts w:hint="eastAsia" w:ascii="宋体" w:hAnsi="宋体"/>
                <w:kern w:val="0"/>
                <w:sz w:val="18"/>
                <w:szCs w:val="18"/>
              </w:rPr>
              <w:t>≥</w:t>
            </w:r>
          </w:p>
        </w:tc>
        <w:tc>
          <w:tcPr>
            <w:tcW w:w="1750" w:type="dxa"/>
            <w:vMerge w:val="restart"/>
            <w:vAlign w:val="center"/>
          </w:tcPr>
          <w:p>
            <w:pPr>
              <w:jc w:val="center"/>
              <w:rPr>
                <w:rFonts w:ascii="宋体" w:hAnsi="宋体"/>
                <w:kern w:val="0"/>
                <w:sz w:val="18"/>
                <w:szCs w:val="18"/>
              </w:rPr>
            </w:pPr>
            <w:r>
              <w:rPr>
                <w:rFonts w:hint="eastAsia" w:ascii="宋体" w:hAnsi="宋体"/>
                <w:kern w:val="0"/>
                <w:sz w:val="18"/>
                <w:szCs w:val="18"/>
              </w:rPr>
              <w:t>产品自生产日期≤一年的执行指标</w:t>
            </w:r>
          </w:p>
        </w:tc>
        <w:tc>
          <w:tcPr>
            <w:tcW w:w="2112" w:type="dxa"/>
            <w:vAlign w:val="center"/>
          </w:tcPr>
          <w:p>
            <w:pPr>
              <w:jc w:val="center"/>
              <w:rPr>
                <w:rFonts w:hint="eastAsia" w:ascii="宋体" w:hAnsi="宋体" w:eastAsia="宋体"/>
                <w:kern w:val="0"/>
                <w:sz w:val="18"/>
                <w:szCs w:val="18"/>
                <w:lang w:val="en-US" w:eastAsia="zh-CN"/>
              </w:rPr>
            </w:pPr>
            <w:r>
              <w:rPr>
                <w:rFonts w:hint="eastAsia" w:ascii="宋体" w:hAnsi="宋体"/>
                <w:kern w:val="0"/>
                <w:sz w:val="18"/>
                <w:szCs w:val="18"/>
              </w:rPr>
              <w:t>0.</w:t>
            </w:r>
            <w:r>
              <w:rPr>
                <w:rFonts w:hint="eastAsia" w:ascii="宋体" w:hAnsi="宋体"/>
                <w:kern w:val="0"/>
                <w:sz w:val="18"/>
                <w:szCs w:val="18"/>
                <w:lang w:val="en-US" w:eastAsia="zh-CN"/>
              </w:rPr>
              <w:t>60</w:t>
            </w:r>
          </w:p>
        </w:tc>
        <w:tc>
          <w:tcPr>
            <w:tcW w:w="2292" w:type="dxa"/>
            <w:vAlign w:val="center"/>
          </w:tcPr>
          <w:p>
            <w:pPr>
              <w:jc w:val="center"/>
              <w:rPr>
                <w:rFonts w:hint="eastAsia" w:ascii="宋体" w:hAnsi="宋体"/>
                <w:kern w:val="0"/>
                <w:sz w:val="18"/>
                <w:szCs w:val="18"/>
              </w:rPr>
            </w:pPr>
            <w:r>
              <w:rPr>
                <w:rFonts w:hint="eastAsia" w:ascii="宋体" w:hAnsi="宋体"/>
                <w:kern w:val="0"/>
                <w:sz w:val="18"/>
                <w:szCs w:val="18"/>
              </w:rPr>
              <w:t>0.</w:t>
            </w:r>
            <w:r>
              <w:rPr>
                <w:rFonts w:hint="eastAsia" w:ascii="宋体" w:hAnsi="宋体"/>
                <w:kern w:val="0"/>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484" w:type="dxa"/>
            <w:vAlign w:val="center"/>
          </w:tcPr>
          <w:p>
            <w:pPr>
              <w:ind w:left="2340" w:hanging="2340" w:hangingChars="1300"/>
              <w:jc w:val="left"/>
              <w:rPr>
                <w:rFonts w:ascii="宋体" w:hAnsi="宋体"/>
                <w:kern w:val="0"/>
                <w:sz w:val="18"/>
                <w:szCs w:val="18"/>
              </w:rPr>
            </w:pPr>
            <w:r>
              <w:rPr>
                <w:rFonts w:hint="eastAsia" w:ascii="宋体" w:hAnsi="宋体"/>
                <w:kern w:val="0"/>
                <w:sz w:val="18"/>
                <w:szCs w:val="18"/>
              </w:rPr>
              <w:t>总酯</w:t>
            </w:r>
            <w:r>
              <w:rPr>
                <w:rFonts w:hint="eastAsia" w:ascii="宋体" w:hAnsi="宋体"/>
                <w:kern w:val="0"/>
                <w:sz w:val="18"/>
                <w:szCs w:val="18"/>
                <w:vertAlign w:val="superscript"/>
                <w:lang w:val="en-US" w:eastAsia="zh-CN"/>
              </w:rPr>
              <w:t>a</w:t>
            </w:r>
            <w:r>
              <w:rPr>
                <w:rFonts w:hint="eastAsia" w:ascii="宋体" w:hAnsi="宋体"/>
                <w:kern w:val="0"/>
                <w:sz w:val="18"/>
                <w:szCs w:val="18"/>
              </w:rPr>
              <w:t>/（g/L） ≥</w:t>
            </w:r>
          </w:p>
        </w:tc>
        <w:tc>
          <w:tcPr>
            <w:tcW w:w="1750" w:type="dxa"/>
            <w:vMerge w:val="continue"/>
            <w:vAlign w:val="center"/>
          </w:tcPr>
          <w:p>
            <w:pPr>
              <w:jc w:val="center"/>
              <w:rPr>
                <w:rFonts w:ascii="宋体" w:hAnsi="宋体"/>
                <w:kern w:val="0"/>
                <w:sz w:val="18"/>
                <w:szCs w:val="18"/>
              </w:rPr>
            </w:pPr>
          </w:p>
        </w:tc>
        <w:tc>
          <w:tcPr>
            <w:tcW w:w="2112" w:type="dxa"/>
            <w:vAlign w:val="center"/>
          </w:tcPr>
          <w:p>
            <w:pPr>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2.00</w:t>
            </w:r>
          </w:p>
        </w:tc>
        <w:tc>
          <w:tcPr>
            <w:tcW w:w="2292" w:type="dxa"/>
            <w:vAlign w:val="center"/>
          </w:tcPr>
          <w:p>
            <w:pPr>
              <w:jc w:val="center"/>
              <w:rPr>
                <w:rFonts w:hint="default" w:ascii="宋体" w:hAnsi="宋体"/>
                <w:kern w:val="0"/>
                <w:sz w:val="18"/>
                <w:szCs w:val="18"/>
                <w:lang w:val="en-US" w:eastAsia="zh-CN"/>
              </w:rPr>
            </w:pPr>
            <w:r>
              <w:rPr>
                <w:rFonts w:hint="eastAsia" w:ascii="宋体" w:hAnsi="宋体"/>
                <w:kern w:val="0"/>
                <w:sz w:val="18"/>
                <w:szCs w:val="18"/>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3484" w:type="dxa"/>
            <w:vAlign w:val="center"/>
          </w:tcPr>
          <w:p>
            <w:pPr>
              <w:ind w:left="2340" w:hanging="2340" w:hangingChars="1300"/>
              <w:jc w:val="left"/>
              <w:rPr>
                <w:rFonts w:hint="eastAsia" w:ascii="宋体" w:hAnsi="宋体" w:eastAsia="宋体"/>
                <w:kern w:val="0"/>
                <w:sz w:val="18"/>
                <w:szCs w:val="18"/>
                <w:lang w:val="en-US" w:eastAsia="zh-CN"/>
              </w:rPr>
            </w:pPr>
            <w:r>
              <w:rPr>
                <w:rFonts w:hint="eastAsia" w:ascii="宋体" w:hAnsi="宋体"/>
                <w:kern w:val="0"/>
                <w:sz w:val="18"/>
                <w:szCs w:val="18"/>
                <w:lang w:val="en-US" w:eastAsia="zh-CN"/>
              </w:rPr>
              <w:t>己酸乙酯</w:t>
            </w:r>
            <w:r>
              <w:rPr>
                <w:rFonts w:hint="eastAsia" w:ascii="宋体" w:hAnsi="宋体"/>
                <w:kern w:val="0"/>
                <w:sz w:val="18"/>
                <w:szCs w:val="18"/>
                <w:vertAlign w:val="superscript"/>
                <w:lang w:val="en-US" w:eastAsia="zh-CN"/>
              </w:rPr>
              <w:t>a</w:t>
            </w:r>
            <w:r>
              <w:rPr>
                <w:rFonts w:hint="eastAsia" w:ascii="宋体" w:hAnsi="宋体"/>
                <w:kern w:val="0"/>
                <w:sz w:val="18"/>
                <w:szCs w:val="18"/>
              </w:rPr>
              <w:t>/（g/L</w:t>
            </w:r>
            <w:r>
              <w:rPr>
                <w:rFonts w:hint="eastAsia" w:ascii="宋体" w:hAnsi="宋体"/>
                <w:kern w:val="0"/>
                <w:sz w:val="18"/>
                <w:szCs w:val="18"/>
                <w:lang w:eastAsia="zh-CN"/>
              </w:rPr>
              <w:t>）</w:t>
            </w:r>
          </w:p>
        </w:tc>
        <w:tc>
          <w:tcPr>
            <w:tcW w:w="1750" w:type="dxa"/>
            <w:vMerge w:val="continue"/>
            <w:vAlign w:val="center"/>
          </w:tcPr>
          <w:p>
            <w:pPr>
              <w:jc w:val="center"/>
              <w:rPr>
                <w:rFonts w:ascii="宋体" w:hAnsi="宋体"/>
                <w:kern w:val="0"/>
                <w:sz w:val="18"/>
                <w:szCs w:val="18"/>
              </w:rPr>
            </w:pPr>
          </w:p>
        </w:tc>
        <w:tc>
          <w:tcPr>
            <w:tcW w:w="2112" w:type="dxa"/>
            <w:vAlign w:val="center"/>
          </w:tcPr>
          <w:p>
            <w:pPr>
              <w:jc w:val="center"/>
              <w:rPr>
                <w:rFonts w:hint="default" w:ascii="宋体" w:hAnsi="宋体"/>
                <w:kern w:val="0"/>
                <w:sz w:val="18"/>
                <w:szCs w:val="18"/>
                <w:lang w:val="en-US" w:eastAsia="zh-CN"/>
              </w:rPr>
            </w:pPr>
            <w:r>
              <w:rPr>
                <w:rFonts w:hint="eastAsia" w:ascii="宋体" w:hAnsi="宋体"/>
                <w:kern w:val="0"/>
                <w:sz w:val="18"/>
                <w:szCs w:val="18"/>
                <w:lang w:val="en-US" w:eastAsia="zh-CN"/>
              </w:rPr>
              <w:t>0.30-2.00</w:t>
            </w:r>
          </w:p>
        </w:tc>
        <w:tc>
          <w:tcPr>
            <w:tcW w:w="2292" w:type="dxa"/>
            <w:vAlign w:val="center"/>
          </w:tcPr>
          <w:p>
            <w:pPr>
              <w:jc w:val="center"/>
              <w:rPr>
                <w:rFonts w:hint="default" w:ascii="宋体" w:hAnsi="宋体"/>
                <w:kern w:val="0"/>
                <w:sz w:val="18"/>
                <w:szCs w:val="18"/>
                <w:lang w:val="en-US" w:eastAsia="zh-CN"/>
              </w:rPr>
            </w:pPr>
            <w:r>
              <w:rPr>
                <w:rFonts w:hint="eastAsia" w:ascii="宋体" w:hAnsi="宋体"/>
                <w:kern w:val="0"/>
                <w:sz w:val="18"/>
                <w:szCs w:val="18"/>
                <w:lang w:val="en-US" w:eastAsia="zh-CN"/>
              </w:rPr>
              <w:t>0.20-1.50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3484" w:type="dxa"/>
            <w:vAlign w:val="center"/>
          </w:tcPr>
          <w:p>
            <w:pPr>
              <w:jc w:val="left"/>
              <w:rPr>
                <w:rFonts w:ascii="宋体" w:hAnsi="宋体"/>
                <w:kern w:val="0"/>
                <w:sz w:val="18"/>
                <w:szCs w:val="18"/>
              </w:rPr>
            </w:pPr>
            <w:r>
              <w:rPr>
                <w:rFonts w:hint="eastAsia" w:ascii="宋体" w:hAnsi="宋体"/>
                <w:kern w:val="0"/>
                <w:sz w:val="18"/>
                <w:szCs w:val="18"/>
              </w:rPr>
              <w:t>酸酯总量</w:t>
            </w:r>
            <w:r>
              <w:rPr>
                <w:rFonts w:hint="eastAsia" w:ascii="宋体" w:hAnsi="宋体"/>
                <w:kern w:val="0"/>
                <w:sz w:val="18"/>
                <w:szCs w:val="18"/>
                <w:vertAlign w:val="superscript"/>
                <w:lang w:val="en-US" w:eastAsia="zh-CN"/>
              </w:rPr>
              <w:t>a</w:t>
            </w:r>
            <w:r>
              <w:rPr>
                <w:rFonts w:hint="eastAsia" w:ascii="宋体" w:hAnsi="宋体"/>
                <w:kern w:val="0"/>
                <w:sz w:val="18"/>
                <w:szCs w:val="18"/>
              </w:rPr>
              <w:t>/(mmol/L)</w:t>
            </w:r>
            <w:r>
              <w:rPr>
                <w:rFonts w:hint="eastAsia" w:ascii="宋体" w:hAnsi="宋体"/>
                <w:kern w:val="0"/>
                <w:sz w:val="18"/>
                <w:szCs w:val="18"/>
                <w:lang w:val="en-US" w:eastAsia="zh-CN"/>
              </w:rPr>
              <w:t xml:space="preserve">          </w:t>
            </w:r>
            <w:r>
              <w:rPr>
                <w:rFonts w:hint="eastAsia" w:ascii="宋体" w:hAnsi="宋体"/>
                <w:kern w:val="0"/>
                <w:sz w:val="18"/>
                <w:szCs w:val="18"/>
              </w:rPr>
              <w:t>≥</w:t>
            </w:r>
          </w:p>
        </w:tc>
        <w:tc>
          <w:tcPr>
            <w:tcW w:w="1750" w:type="dxa"/>
            <w:vAlign w:val="center"/>
          </w:tcPr>
          <w:p>
            <w:pPr>
              <w:jc w:val="center"/>
              <w:rPr>
                <w:rFonts w:ascii="宋体" w:hAnsi="宋体"/>
                <w:kern w:val="0"/>
                <w:sz w:val="18"/>
                <w:szCs w:val="18"/>
              </w:rPr>
            </w:pPr>
            <w:r>
              <w:rPr>
                <w:rFonts w:hint="eastAsia" w:ascii="宋体" w:hAnsi="宋体"/>
                <w:kern w:val="0"/>
                <w:sz w:val="18"/>
                <w:szCs w:val="18"/>
              </w:rPr>
              <w:t>产品自生产日期＞一年的执行指标</w:t>
            </w:r>
          </w:p>
        </w:tc>
        <w:tc>
          <w:tcPr>
            <w:tcW w:w="2112" w:type="dxa"/>
            <w:vAlign w:val="center"/>
          </w:tcPr>
          <w:p>
            <w:pPr>
              <w:jc w:val="center"/>
              <w:rPr>
                <w:rFonts w:hint="default" w:ascii="宋体" w:hAnsi="宋体" w:eastAsia="宋体"/>
                <w:kern w:val="0"/>
                <w:sz w:val="18"/>
                <w:szCs w:val="18"/>
                <w:lang w:val="en-US" w:eastAsia="zh-CN"/>
              </w:rPr>
            </w:pPr>
            <w:r>
              <w:rPr>
                <w:rFonts w:hint="eastAsia" w:ascii="宋体" w:hAnsi="宋体"/>
                <w:kern w:val="0"/>
                <w:sz w:val="18"/>
                <w:szCs w:val="18"/>
                <w:lang w:val="en-US" w:eastAsia="zh-CN"/>
              </w:rPr>
              <w:t>20.0</w:t>
            </w:r>
          </w:p>
        </w:tc>
        <w:tc>
          <w:tcPr>
            <w:tcW w:w="2292" w:type="dxa"/>
            <w:vAlign w:val="center"/>
          </w:tcPr>
          <w:p>
            <w:pPr>
              <w:jc w:val="center"/>
              <w:rPr>
                <w:rFonts w:hint="default" w:ascii="宋体" w:hAnsi="宋体"/>
                <w:kern w:val="0"/>
                <w:sz w:val="18"/>
                <w:szCs w:val="18"/>
                <w:lang w:val="en-US" w:eastAsia="zh-CN"/>
              </w:rPr>
            </w:pPr>
            <w:r>
              <w:rPr>
                <w:rFonts w:hint="eastAsia" w:ascii="宋体" w:hAnsi="宋体"/>
                <w:kern w:val="0"/>
                <w:sz w:val="18"/>
                <w:szCs w:val="18"/>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5234" w:type="dxa"/>
            <w:gridSpan w:val="2"/>
            <w:vAlign w:val="center"/>
          </w:tcPr>
          <w:p>
            <w:pPr>
              <w:rPr>
                <w:rFonts w:ascii="宋体" w:hAnsi="宋体"/>
                <w:kern w:val="0"/>
                <w:sz w:val="18"/>
                <w:szCs w:val="18"/>
              </w:rPr>
            </w:pPr>
            <w:r>
              <w:rPr>
                <w:rFonts w:hint="eastAsia" w:ascii="宋体" w:hAnsi="宋体"/>
                <w:kern w:val="0"/>
                <w:sz w:val="18"/>
                <w:szCs w:val="18"/>
              </w:rPr>
              <w:t>固形物/(g/L)              ≤</w:t>
            </w:r>
          </w:p>
        </w:tc>
        <w:tc>
          <w:tcPr>
            <w:tcW w:w="4404" w:type="dxa"/>
            <w:gridSpan w:val="2"/>
            <w:vAlign w:val="center"/>
          </w:tcPr>
          <w:p>
            <w:pPr>
              <w:jc w:val="center"/>
              <w:rPr>
                <w:rFonts w:hint="eastAsia" w:ascii="宋体" w:hAnsi="宋体"/>
                <w:kern w:val="0"/>
                <w:sz w:val="18"/>
                <w:szCs w:val="18"/>
              </w:rPr>
            </w:pPr>
            <w:r>
              <w:rPr>
                <w:rFonts w:hint="eastAsia" w:ascii="宋体" w:hAnsi="宋体"/>
                <w:kern w:val="0"/>
                <w:sz w:val="18"/>
                <w:szCs w:val="18"/>
                <w:lang w:val="en-US" w:eastAsia="zh-CN"/>
              </w:rPr>
              <w:t>0.50</w:t>
            </w:r>
            <w:r>
              <w:rPr>
                <w:rFonts w:hint="eastAsia" w:ascii="宋体" w:hAnsi="宋体"/>
                <w:kern w:val="0"/>
                <w:sz w:val="18"/>
                <w:szCs w:val="18"/>
                <w:vertAlign w:val="super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9638" w:type="dxa"/>
            <w:gridSpan w:val="4"/>
            <w:vAlign w:val="center"/>
          </w:tcPr>
          <w:p>
            <w:pPr>
              <w:rPr>
                <w:rFonts w:hint="default" w:ascii="宋体" w:hAnsi="宋体"/>
                <w:kern w:val="0"/>
                <w:sz w:val="18"/>
                <w:szCs w:val="18"/>
                <w:lang w:val="en-US" w:eastAsia="zh-CN"/>
              </w:rPr>
            </w:pPr>
            <w:r>
              <w:rPr>
                <w:rFonts w:hint="eastAsia" w:ascii="宋体" w:hAnsi="宋体"/>
                <w:kern w:val="0"/>
                <w:sz w:val="18"/>
                <w:szCs w:val="18"/>
                <w:vertAlign w:val="superscript"/>
                <w:lang w:val="en-US" w:eastAsia="zh-CN"/>
              </w:rPr>
              <w:t xml:space="preserve">a </w:t>
            </w:r>
            <w:r>
              <w:rPr>
                <w:rFonts w:hint="eastAsia" w:ascii="宋体" w:hAnsi="宋体"/>
                <w:kern w:val="0"/>
                <w:sz w:val="18"/>
                <w:szCs w:val="18"/>
                <w:lang w:val="en-US" w:eastAsia="zh-CN"/>
              </w:rPr>
              <w:t>按45%vol折算。</w:t>
            </w:r>
          </w:p>
          <w:p>
            <w:pPr>
              <w:jc w:val="left"/>
              <w:rPr>
                <w:rFonts w:hint="eastAsia" w:ascii="宋体" w:hAnsi="宋体" w:eastAsia="宋体"/>
                <w:kern w:val="0"/>
                <w:sz w:val="18"/>
                <w:szCs w:val="18"/>
                <w:lang w:eastAsia="zh-CN"/>
              </w:rPr>
            </w:pPr>
            <w:r>
              <w:rPr>
                <w:rFonts w:hint="eastAsia" w:ascii="宋体" w:hAnsi="宋体"/>
                <w:kern w:val="0"/>
                <w:sz w:val="18"/>
                <w:szCs w:val="18"/>
                <w:vertAlign w:val="superscript"/>
                <w:lang w:val="en-US" w:eastAsia="zh-CN"/>
              </w:rPr>
              <w:t>b</w:t>
            </w:r>
            <w:r>
              <w:rPr>
                <w:rFonts w:hint="eastAsia" w:ascii="宋体" w:hAnsi="宋体"/>
                <w:kern w:val="0"/>
                <w:sz w:val="18"/>
                <w:szCs w:val="18"/>
                <w:lang w:val="en-US" w:eastAsia="zh-CN"/>
              </w:rPr>
              <w:t>当酒精度小于40%vol时固形物小于等于0.70</w:t>
            </w:r>
            <w:r>
              <w:rPr>
                <w:rFonts w:hint="eastAsia" w:ascii="宋体" w:hAnsi="宋体"/>
                <w:kern w:val="0"/>
                <w:sz w:val="18"/>
                <w:szCs w:val="18"/>
              </w:rPr>
              <w:t>g/L</w:t>
            </w:r>
            <w:r>
              <w:rPr>
                <w:rFonts w:hint="eastAsia" w:ascii="宋体" w:hAnsi="宋体"/>
                <w:kern w:val="0"/>
                <w:sz w:val="18"/>
                <w:szCs w:val="18"/>
                <w:lang w:eastAsia="zh-CN"/>
              </w:rPr>
              <w:t>。</w:t>
            </w:r>
          </w:p>
        </w:tc>
      </w:tr>
    </w:tbl>
    <w:p>
      <w:pPr>
        <w:pStyle w:val="56"/>
        <w:jc w:val="center"/>
        <w:rPr>
          <w:rFonts w:hint="eastAsia" w:ascii="黑体" w:hAnsi="黑体" w:eastAsia="黑体" w:cs="黑体"/>
          <w:szCs w:val="21"/>
          <w:lang w:val="en-US" w:eastAsia="zh-CN"/>
        </w:rPr>
      </w:pPr>
    </w:p>
    <w:p>
      <w:pPr>
        <w:pStyle w:val="56"/>
        <w:ind w:left="0" w:leftChars="0" w:firstLine="0" w:firstLineChars="0"/>
        <w:jc w:val="both"/>
        <w:rPr>
          <w:rFonts w:hint="eastAsia" w:ascii="黑体" w:hAnsi="黑体" w:eastAsia="黑体" w:cs="黑体"/>
          <w:szCs w:val="21"/>
          <w:lang w:val="en-US" w:eastAsia="zh-CN"/>
        </w:rPr>
      </w:pPr>
    </w:p>
    <w:p>
      <w:pPr>
        <w:pStyle w:val="104"/>
        <w:numPr>
          <w:ilvl w:val="1"/>
          <w:numId w:val="0"/>
        </w:numPr>
        <w:spacing w:before="240" w:after="240"/>
        <w:ind w:leftChars="0"/>
        <w:rPr>
          <w:rFonts w:hint="eastAsia"/>
          <w:szCs w:val="21"/>
          <w:lang w:val="en-US" w:eastAsia="zh-CN"/>
        </w:rPr>
      </w:pPr>
      <w:r>
        <w:rPr>
          <w:rFonts w:hint="eastAsia"/>
          <w:szCs w:val="21"/>
          <w:lang w:val="en-US" w:eastAsia="zh-CN"/>
        </w:rPr>
        <w:t>5.3净含量</w:t>
      </w:r>
    </w:p>
    <w:p>
      <w:pPr>
        <w:pStyle w:val="56"/>
        <w:ind w:left="0" w:leftChars="0" w:firstLine="420" w:firstLineChars="200"/>
        <w:jc w:val="both"/>
        <w:rPr>
          <w:rFonts w:hint="default" w:ascii="宋体" w:hAnsi="宋体" w:eastAsia="宋体" w:cs="宋体"/>
          <w:sz w:val="21"/>
          <w:szCs w:val="21"/>
          <w:lang w:val="en-US" w:eastAsia="zh-CN" w:bidi="ar-SA"/>
        </w:rPr>
      </w:pPr>
      <w:r>
        <w:rPr>
          <w:rFonts w:hint="eastAsia" w:ascii="宋体" w:hAnsi="宋体" w:eastAsia="宋体" w:cs="宋体"/>
          <w:sz w:val="21"/>
          <w:szCs w:val="21"/>
          <w:lang w:val="en-US" w:eastAsia="zh-CN" w:bidi="ar-SA"/>
        </w:rPr>
        <w:t>按《定量包装商品计量监督管理办法》执行</w:t>
      </w:r>
      <w:r>
        <w:rPr>
          <w:rFonts w:hint="eastAsia" w:hAnsi="宋体" w:cs="宋体"/>
          <w:sz w:val="21"/>
          <w:szCs w:val="21"/>
          <w:lang w:val="en-US" w:eastAsia="zh-CN" w:bidi="ar-SA"/>
        </w:rPr>
        <w:t>。</w:t>
      </w:r>
    </w:p>
    <w:p>
      <w:pPr>
        <w:pStyle w:val="104"/>
        <w:spacing w:before="240" w:after="240"/>
        <w:rPr>
          <w:rFonts w:hint="eastAsia"/>
          <w:szCs w:val="21"/>
          <w:lang w:val="en-US" w:eastAsia="zh-CN"/>
        </w:rPr>
      </w:pPr>
      <w:r>
        <w:rPr>
          <w:rFonts w:hint="eastAsia"/>
          <w:szCs w:val="21"/>
          <w:lang w:val="en-US" w:eastAsia="zh-CN"/>
        </w:rPr>
        <w:t>试验方法</w:t>
      </w:r>
    </w:p>
    <w:p>
      <w:pPr>
        <w:pStyle w:val="104"/>
        <w:numPr>
          <w:ilvl w:val="1"/>
          <w:numId w:val="0"/>
        </w:numPr>
        <w:spacing w:before="240" w:after="240"/>
        <w:rPr>
          <w:rFonts w:hint="eastAsia"/>
          <w:szCs w:val="21"/>
          <w:lang w:val="en-US" w:eastAsia="zh-CN"/>
        </w:rPr>
      </w:pPr>
      <w:r>
        <w:rPr>
          <w:rFonts w:hint="eastAsia"/>
          <w:szCs w:val="21"/>
          <w:lang w:val="en-US" w:eastAsia="zh-CN"/>
        </w:rPr>
        <w:t>6.1 感官要求</w:t>
      </w:r>
    </w:p>
    <w:p>
      <w:pPr>
        <w:pStyle w:val="104"/>
        <w:numPr>
          <w:ilvl w:val="1"/>
          <w:numId w:val="0"/>
        </w:numPr>
        <w:spacing w:before="240" w:after="240"/>
        <w:rPr>
          <w:rFonts w:hint="eastAsia"/>
          <w:szCs w:val="21"/>
          <w:lang w:val="en-US" w:eastAsia="zh-CN"/>
        </w:rPr>
      </w:pPr>
      <w:r>
        <w:rPr>
          <w:rFonts w:hint="eastAsia"/>
          <w:szCs w:val="21"/>
          <w:lang w:val="en-US" w:eastAsia="zh-CN"/>
        </w:rPr>
        <w:t xml:space="preserve"> </w:t>
      </w:r>
      <w:r>
        <w:rPr>
          <w:rFonts w:hint="eastAsia" w:ascii="宋体" w:hAnsi="宋体" w:eastAsia="宋体" w:cs="宋体"/>
          <w:szCs w:val="21"/>
          <w:lang w:val="en-US" w:eastAsia="zh-CN"/>
        </w:rPr>
        <w:t xml:space="preserve">   按照GB/T 10345 的规定执行。</w:t>
      </w:r>
    </w:p>
    <w:p>
      <w:pPr>
        <w:pStyle w:val="104"/>
        <w:numPr>
          <w:ilvl w:val="1"/>
          <w:numId w:val="0"/>
        </w:numPr>
        <w:spacing w:before="240" w:after="240"/>
        <w:rPr>
          <w:rFonts w:hint="eastAsia"/>
          <w:szCs w:val="21"/>
          <w:lang w:val="en-US" w:eastAsia="zh-CN"/>
        </w:rPr>
      </w:pPr>
      <w:r>
        <w:rPr>
          <w:rFonts w:hint="eastAsia"/>
          <w:szCs w:val="21"/>
          <w:lang w:val="en-US" w:eastAsia="zh-CN"/>
        </w:rPr>
        <w:t>6.2 理化要求</w:t>
      </w:r>
    </w:p>
    <w:p>
      <w:pPr>
        <w:pStyle w:val="104"/>
        <w:numPr>
          <w:ilvl w:val="1"/>
          <w:numId w:val="0"/>
        </w:numPr>
        <w:spacing w:before="240" w:after="240"/>
        <w:rPr>
          <w:rFonts w:hint="eastAsia"/>
          <w:szCs w:val="21"/>
          <w:lang w:val="en-US" w:eastAsia="zh-CN"/>
        </w:rPr>
      </w:pPr>
      <w:r>
        <w:rPr>
          <w:rFonts w:hint="eastAsia"/>
          <w:szCs w:val="21"/>
          <w:lang w:val="en-US" w:eastAsia="zh-CN"/>
        </w:rPr>
        <w:t>6.2.1 酒精度</w:t>
      </w:r>
    </w:p>
    <w:p>
      <w:pPr>
        <w:pStyle w:val="104"/>
        <w:numPr>
          <w:ilvl w:val="1"/>
          <w:numId w:val="0"/>
        </w:numPr>
        <w:spacing w:before="240" w:after="24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按照GB 5009.225的规定执行。</w:t>
      </w:r>
    </w:p>
    <w:p>
      <w:pPr>
        <w:pStyle w:val="104"/>
        <w:numPr>
          <w:ilvl w:val="1"/>
          <w:numId w:val="0"/>
        </w:numPr>
        <w:spacing w:before="240" w:after="240"/>
        <w:rPr>
          <w:rFonts w:hint="default"/>
          <w:szCs w:val="21"/>
          <w:lang w:val="en-US" w:eastAsia="zh-CN"/>
        </w:rPr>
      </w:pPr>
      <w:r>
        <w:rPr>
          <w:rFonts w:hint="eastAsia"/>
          <w:szCs w:val="21"/>
          <w:lang w:val="en-US" w:eastAsia="zh-CN"/>
        </w:rPr>
        <w:t>6.2.2 总酯、固形物、己酸乙酯</w:t>
      </w:r>
    </w:p>
    <w:p>
      <w:pPr>
        <w:pStyle w:val="104"/>
        <w:numPr>
          <w:ilvl w:val="1"/>
          <w:numId w:val="0"/>
        </w:numPr>
        <w:spacing w:before="240" w:after="240"/>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按照</w:t>
      </w:r>
      <w:r>
        <w:rPr>
          <w:rFonts w:hint="eastAsia" w:ascii="宋体" w:hAnsi="宋体" w:eastAsia="宋体" w:cs="宋体"/>
          <w:szCs w:val="21"/>
          <w:lang w:eastAsia="zh-CN"/>
        </w:rPr>
        <w:t>GB/T 10345的规定执行，其中</w:t>
      </w:r>
      <w:r>
        <w:rPr>
          <w:rFonts w:hint="eastAsia" w:ascii="宋体" w:hAnsi="宋体" w:eastAsia="宋体" w:cs="宋体"/>
          <w:szCs w:val="21"/>
          <w:lang w:val="en-US" w:eastAsia="zh-CN"/>
        </w:rPr>
        <w:t>总酯、己酸乙酯按照45.0%vol折算。</w:t>
      </w:r>
    </w:p>
    <w:p>
      <w:pPr>
        <w:pStyle w:val="104"/>
        <w:numPr>
          <w:ilvl w:val="1"/>
          <w:numId w:val="0"/>
        </w:numPr>
        <w:spacing w:before="240" w:after="240"/>
        <w:rPr>
          <w:rFonts w:hint="eastAsia"/>
          <w:szCs w:val="21"/>
        </w:rPr>
      </w:pPr>
      <w:r>
        <w:rPr>
          <w:rFonts w:hint="eastAsia"/>
          <w:szCs w:val="21"/>
          <w:lang w:val="en-US" w:eastAsia="zh-CN"/>
        </w:rPr>
        <w:t>6.2.3 酸酯总量</w:t>
      </w:r>
    </w:p>
    <w:p>
      <w:pPr>
        <w:pStyle w:val="104"/>
        <w:numPr>
          <w:ilvl w:val="1"/>
          <w:numId w:val="0"/>
        </w:numPr>
        <w:spacing w:before="240" w:after="240"/>
        <w:ind w:firstLine="420" w:firstLineChars="200"/>
        <w:rPr>
          <w:rFonts w:hint="eastAsia" w:ascii="宋体" w:hAnsi="宋体" w:eastAsia="宋体" w:cs="宋体"/>
          <w:szCs w:val="21"/>
          <w:lang w:eastAsia="zh-CN"/>
        </w:rPr>
      </w:pPr>
      <w:r>
        <w:rPr>
          <w:rFonts w:hint="eastAsia" w:ascii="宋体" w:hAnsi="宋体" w:eastAsia="宋体" w:cs="宋体"/>
          <w:szCs w:val="21"/>
          <w:lang w:eastAsia="zh-CN"/>
        </w:rPr>
        <w:t>按照</w:t>
      </w:r>
      <w:r>
        <w:rPr>
          <w:rFonts w:hint="eastAsia" w:ascii="宋体" w:hAnsi="宋体" w:eastAsia="宋体" w:cs="宋体"/>
          <w:szCs w:val="21"/>
        </w:rPr>
        <w:t>GB/T 10781.</w:t>
      </w:r>
      <w:r>
        <w:rPr>
          <w:rFonts w:hint="eastAsia" w:ascii="宋体" w:hAnsi="宋体" w:eastAsia="宋体" w:cs="宋体"/>
          <w:szCs w:val="21"/>
          <w:lang w:val="en-US" w:eastAsia="zh-CN"/>
        </w:rPr>
        <w:t>1附录A</w:t>
      </w:r>
      <w:r>
        <w:rPr>
          <w:rFonts w:hint="eastAsia" w:ascii="宋体" w:hAnsi="宋体" w:eastAsia="宋体" w:cs="宋体"/>
          <w:szCs w:val="21"/>
          <w:lang w:eastAsia="zh-CN"/>
        </w:rPr>
        <w:t>的规定执行，</w:t>
      </w:r>
      <w:r>
        <w:rPr>
          <w:rFonts w:hint="eastAsia" w:ascii="宋体" w:hAnsi="宋体" w:eastAsia="宋体" w:cs="宋体"/>
          <w:szCs w:val="21"/>
          <w:lang w:val="en-US" w:eastAsia="zh-CN"/>
        </w:rPr>
        <w:t>按照45.0%vol折算</w:t>
      </w:r>
      <w:r>
        <w:rPr>
          <w:rFonts w:hint="eastAsia" w:ascii="宋体" w:hAnsi="宋体" w:eastAsia="宋体" w:cs="宋体"/>
          <w:szCs w:val="21"/>
          <w:lang w:eastAsia="zh-CN"/>
        </w:rPr>
        <w:t>。</w:t>
      </w:r>
    </w:p>
    <w:p>
      <w:pPr>
        <w:pStyle w:val="56"/>
        <w:ind w:left="0" w:leftChars="0" w:firstLine="0" w:firstLineChars="0"/>
        <w:rPr>
          <w:rFonts w:hint="eastAsia" w:ascii="黑体" w:hAnsi="Times New Roman" w:eastAsia="黑体" w:cs="Times New Roman"/>
          <w:sz w:val="21"/>
          <w:szCs w:val="21"/>
          <w:lang w:val="en-US" w:eastAsia="zh-CN" w:bidi="ar-SA"/>
        </w:rPr>
      </w:pPr>
      <w:r>
        <w:rPr>
          <w:rFonts w:hint="eastAsia" w:ascii="黑体" w:hAnsi="Times New Roman" w:eastAsia="黑体" w:cs="Times New Roman"/>
          <w:sz w:val="21"/>
          <w:szCs w:val="21"/>
          <w:lang w:val="en-US" w:eastAsia="zh-CN" w:bidi="ar-SA"/>
        </w:rPr>
        <w:t>6.2.4 总酸</w:t>
      </w:r>
    </w:p>
    <w:p>
      <w:pPr>
        <w:pStyle w:val="56"/>
        <w:ind w:left="0" w:leftChars="0" w:firstLine="0" w:firstLineChars="0"/>
        <w:rPr>
          <w:rFonts w:hint="default" w:hAnsi="宋体" w:cs="宋体"/>
          <w:szCs w:val="21"/>
          <w:lang w:val="en-US" w:eastAsia="zh-CN"/>
        </w:rPr>
      </w:pPr>
      <w:r>
        <w:rPr>
          <w:rFonts w:hint="eastAsia" w:hAnsi="宋体" w:cs="宋体"/>
          <w:szCs w:val="21"/>
          <w:lang w:val="en-US" w:eastAsia="zh-CN"/>
        </w:rPr>
        <w:t xml:space="preserve">    </w:t>
      </w:r>
      <w:r>
        <w:rPr>
          <w:rFonts w:hint="eastAsia" w:ascii="宋体" w:hAnsi="宋体" w:eastAsia="宋体" w:cs="宋体"/>
          <w:szCs w:val="21"/>
          <w:lang w:eastAsia="zh-CN"/>
        </w:rPr>
        <w:t>按照</w:t>
      </w:r>
      <w:r>
        <w:rPr>
          <w:rFonts w:hint="eastAsia" w:ascii="宋体" w:hAnsi="宋体" w:eastAsia="宋体" w:cs="宋体"/>
          <w:szCs w:val="21"/>
        </w:rPr>
        <w:t>GB</w:t>
      </w:r>
      <w:r>
        <w:rPr>
          <w:rFonts w:hint="eastAsia" w:hAnsi="宋体" w:cs="宋体"/>
          <w:szCs w:val="21"/>
          <w:lang w:val="en-US" w:eastAsia="zh-CN"/>
        </w:rPr>
        <w:t xml:space="preserve"> 12456 </w:t>
      </w:r>
      <w:r>
        <w:rPr>
          <w:rFonts w:hint="eastAsia" w:ascii="宋体" w:hAnsi="宋体" w:eastAsia="宋体" w:cs="宋体"/>
          <w:szCs w:val="21"/>
          <w:lang w:eastAsia="zh-CN"/>
        </w:rPr>
        <w:t>的规定执行</w:t>
      </w:r>
      <w:r>
        <w:rPr>
          <w:rFonts w:hint="eastAsia" w:hAnsi="宋体" w:cs="宋体"/>
          <w:szCs w:val="21"/>
          <w:lang w:eastAsia="zh-CN"/>
        </w:rPr>
        <w:t>，</w:t>
      </w:r>
      <w:r>
        <w:rPr>
          <w:rFonts w:hint="eastAsia" w:ascii="宋体" w:hAnsi="宋体" w:eastAsia="宋体" w:cs="宋体"/>
          <w:szCs w:val="21"/>
          <w:lang w:val="en-US" w:eastAsia="zh-CN"/>
        </w:rPr>
        <w:t>按照45.0%vol</w:t>
      </w:r>
      <w:r>
        <w:rPr>
          <w:rFonts w:hint="eastAsia" w:hAnsi="宋体" w:cs="宋体"/>
          <w:szCs w:val="21"/>
          <w:lang w:val="en-US" w:eastAsia="zh-CN"/>
        </w:rPr>
        <w:t>折算</w:t>
      </w:r>
      <w:r>
        <w:rPr>
          <w:rFonts w:hint="eastAsia" w:ascii="宋体" w:hAnsi="宋体" w:eastAsia="宋体" w:cs="宋体"/>
          <w:szCs w:val="21"/>
          <w:lang w:eastAsia="zh-CN"/>
        </w:rPr>
        <w:t>。</w:t>
      </w:r>
    </w:p>
    <w:p>
      <w:pPr>
        <w:pStyle w:val="104"/>
        <w:numPr>
          <w:ilvl w:val="1"/>
          <w:numId w:val="0"/>
        </w:numPr>
        <w:spacing w:before="240" w:after="240"/>
        <w:rPr>
          <w:rFonts w:hint="eastAsia"/>
          <w:szCs w:val="21"/>
        </w:rPr>
      </w:pPr>
      <w:r>
        <w:rPr>
          <w:rFonts w:hint="eastAsia"/>
          <w:szCs w:val="21"/>
          <w:lang w:val="en-US" w:eastAsia="zh-CN"/>
        </w:rPr>
        <w:t>6</w:t>
      </w:r>
      <w:r>
        <w:rPr>
          <w:rFonts w:hint="eastAsia"/>
          <w:szCs w:val="21"/>
        </w:rPr>
        <w:t>.</w:t>
      </w:r>
      <w:r>
        <w:rPr>
          <w:rFonts w:hint="eastAsia"/>
          <w:szCs w:val="21"/>
          <w:lang w:val="en-US" w:eastAsia="zh-CN"/>
        </w:rPr>
        <w:t>3</w:t>
      </w:r>
      <w:r>
        <w:rPr>
          <w:rFonts w:hint="eastAsia"/>
          <w:szCs w:val="21"/>
        </w:rPr>
        <w:t>净含量</w:t>
      </w:r>
    </w:p>
    <w:p>
      <w:pPr>
        <w:pStyle w:val="56"/>
        <w:ind w:firstLine="420" w:firstLineChars="200"/>
      </w:pPr>
      <w:r>
        <w:rPr>
          <w:rFonts w:hint="eastAsia"/>
        </w:rPr>
        <w:t>按 JJF 1070 的规定</w:t>
      </w:r>
      <w:r>
        <w:rPr>
          <w:rFonts w:hint="eastAsia"/>
          <w:lang w:val="en-US" w:eastAsia="zh-CN"/>
        </w:rPr>
        <w:t>执行</w:t>
      </w:r>
      <w:r>
        <w:rPr>
          <w:rFonts w:hint="eastAsia"/>
        </w:rPr>
        <w:t>。</w:t>
      </w:r>
    </w:p>
    <w:p>
      <w:pPr>
        <w:pStyle w:val="104"/>
        <w:spacing w:before="240" w:after="240"/>
        <w:rPr>
          <w:szCs w:val="21"/>
        </w:rPr>
      </w:pPr>
      <w:r>
        <w:rPr>
          <w:rFonts w:hint="eastAsia"/>
          <w:szCs w:val="21"/>
        </w:rPr>
        <w:t>检验规则和标志、包装、运输、贮存</w:t>
      </w:r>
    </w:p>
    <w:p>
      <w:pPr>
        <w:pStyle w:val="56"/>
        <w:ind w:firstLine="420"/>
        <w:rPr>
          <w:rFonts w:hint="eastAsia"/>
        </w:rPr>
      </w:pPr>
      <w:r>
        <w:rPr>
          <w:rFonts w:hint="eastAsia" w:ascii="黑体" w:eastAsia="黑体"/>
          <w:szCs w:val="21"/>
          <w:lang w:val="en-US" w:eastAsia="zh-CN"/>
        </w:rPr>
        <w:t>7</w:t>
      </w:r>
      <w:r>
        <w:rPr>
          <w:rFonts w:hint="eastAsia" w:ascii="黑体" w:eastAsia="黑体"/>
          <w:szCs w:val="21"/>
        </w:rPr>
        <w:t xml:space="preserve">.1 </w:t>
      </w:r>
      <w:r>
        <w:rPr>
          <w:rFonts w:hint="eastAsia"/>
        </w:rPr>
        <w:t>检验规则</w:t>
      </w:r>
      <w:r>
        <w:rPr>
          <w:rFonts w:hint="eastAsia"/>
          <w:szCs w:val="21"/>
        </w:rPr>
        <w:t>和标志、包装、运输、贮存</w:t>
      </w:r>
      <w:r>
        <w:rPr>
          <w:rFonts w:hint="eastAsia"/>
        </w:rPr>
        <w:t xml:space="preserve">应符合GB/T 10346 的规定。 </w:t>
      </w:r>
    </w:p>
    <w:p>
      <w:pPr>
        <w:ind w:firstLine="420" w:firstLineChars="200"/>
        <w:jc w:val="left"/>
        <w:rPr>
          <w:rFonts w:hint="eastAsia"/>
        </w:rPr>
      </w:pPr>
      <w:r>
        <w:rPr>
          <w:rFonts w:hint="eastAsia" w:ascii="黑体" w:hAnsi="Times New Roman" w:eastAsia="黑体" w:cs="Times New Roman"/>
          <w:kern w:val="0"/>
          <w:sz w:val="21"/>
          <w:szCs w:val="21"/>
          <w:lang w:val="en-US" w:eastAsia="zh-CN" w:bidi="ar-SA"/>
        </w:rPr>
        <w:t xml:space="preserve">7.2 </w:t>
      </w:r>
      <w:r>
        <w:rPr>
          <w:rFonts w:hint="eastAsia" w:ascii="宋体" w:hAnsi="Times New Roman" w:eastAsia="宋体" w:cs="Times New Roman"/>
          <w:kern w:val="0"/>
          <w:sz w:val="21"/>
          <w:szCs w:val="20"/>
          <w:lang w:val="en-US" w:eastAsia="zh-CN" w:bidi="ar-SA"/>
        </w:rPr>
        <w:t>酒精度实测值与标签标示</w:t>
      </w:r>
      <w:r>
        <w:rPr>
          <w:rFonts w:hint="eastAsia" w:ascii="宋体" w:hAnsi="Times New Roman" w:cs="Times New Roman"/>
          <w:kern w:val="0"/>
          <w:sz w:val="21"/>
          <w:szCs w:val="20"/>
          <w:lang w:val="en-US" w:eastAsia="zh-CN" w:bidi="ar-SA"/>
        </w:rPr>
        <w:t>值</w:t>
      </w:r>
      <w:r>
        <w:rPr>
          <w:rFonts w:hint="eastAsia" w:ascii="宋体" w:hAnsi="Times New Roman" w:eastAsia="宋体" w:cs="Times New Roman"/>
          <w:kern w:val="0"/>
          <w:sz w:val="21"/>
          <w:szCs w:val="20"/>
          <w:lang w:val="en-US" w:eastAsia="zh-CN" w:bidi="ar-SA"/>
        </w:rPr>
        <w:t>允许差为±1.0%vol。</w:t>
      </w:r>
    </w:p>
    <w:p>
      <w:pPr>
        <w:pStyle w:val="56"/>
        <w:ind w:firstLine="420"/>
        <w:rPr>
          <w:color w:val="auto"/>
        </w:rPr>
      </w:pPr>
      <w:r>
        <w:rPr>
          <w:rFonts w:hint="eastAsia" w:ascii="黑体" w:eastAsia="黑体"/>
          <w:color w:val="auto"/>
          <w:szCs w:val="21"/>
          <w:lang w:val="en-US" w:eastAsia="zh-CN"/>
        </w:rPr>
        <w:t>7</w:t>
      </w:r>
      <w:r>
        <w:rPr>
          <w:rFonts w:hint="eastAsia" w:ascii="黑体" w:eastAsia="黑体"/>
          <w:color w:val="auto"/>
          <w:szCs w:val="21"/>
        </w:rPr>
        <w:t>.</w:t>
      </w:r>
      <w:r>
        <w:rPr>
          <w:rFonts w:hint="eastAsia" w:ascii="黑体" w:eastAsia="黑体"/>
          <w:color w:val="auto"/>
          <w:szCs w:val="21"/>
          <w:lang w:val="en-US" w:eastAsia="zh-CN"/>
        </w:rPr>
        <w:t xml:space="preserve">3 </w:t>
      </w:r>
      <w:r>
        <w:rPr>
          <w:rFonts w:hint="eastAsia"/>
          <w:color w:val="auto"/>
        </w:rPr>
        <w:t>预包装产品应标识产品类型为“固态法白酒”。</w:t>
      </w:r>
    </w:p>
    <w:p>
      <w:pPr>
        <w:pStyle w:val="56"/>
        <w:ind w:firstLine="0" w:firstLineChars="0"/>
        <w:rPr>
          <w:rFonts w:ascii="黑体" w:hAnsi="黑体" w:eastAsia="黑体" w:cs="黑体"/>
        </w:rPr>
      </w:pPr>
    </w:p>
    <w:p>
      <w:pPr>
        <w:pStyle w:val="56"/>
        <w:ind w:firstLine="0" w:firstLineChars="0"/>
        <w:jc w:val="center"/>
      </w:pPr>
      <w:r>
        <w:drawing>
          <wp:inline distT="0" distB="0" distL="0" distR="0">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7" cstate="print"/>
                    <a:srcRect/>
                    <a:stretch>
                      <a:fillRect/>
                    </a:stretch>
                  </pic:blipFill>
                  <pic:spPr>
                    <a:xfrm>
                      <a:off x="0" y="0"/>
                      <a:ext cx="1485900" cy="317500"/>
                    </a:xfrm>
                    <a:prstGeom prst="rect">
                      <a:avLst/>
                    </a:prstGeom>
                  </pic:spPr>
                </pic:pic>
              </a:graphicData>
            </a:graphic>
          </wp:inline>
        </w:drawing>
      </w:r>
    </w:p>
    <w:p>
      <w:pPr>
        <w:pStyle w:val="56"/>
        <w:ind w:firstLine="420"/>
      </w:pPr>
    </w:p>
    <w:sectPr>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T/AHFIA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fldChar w:fldCharType="begin"/>
    </w:r>
    <w:r>
      <w:instrText xml:space="preserve"> STYLEREF  标准文件_文件编号  \* MERGEFORMAT </w:instrText>
    </w:r>
    <w:r>
      <w:fldChar w:fldCharType="separate"/>
    </w:r>
    <w:r>
      <w:t>T/AHFIA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kZmI2Yjk1NzViNDhkMTc5N2VkZGI1Yjk3Mjk1YjMifQ=="/>
  </w:docVars>
  <w:rsids>
    <w:rsidRoot w:val="005C1A0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1A07"/>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6D89"/>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182C38"/>
    <w:rsid w:val="067A7CBC"/>
    <w:rsid w:val="07A205C2"/>
    <w:rsid w:val="08DF4C8E"/>
    <w:rsid w:val="0A0D52EB"/>
    <w:rsid w:val="0B1C1B17"/>
    <w:rsid w:val="0B7F3FC7"/>
    <w:rsid w:val="0C122745"/>
    <w:rsid w:val="0F4F7AB8"/>
    <w:rsid w:val="11203487"/>
    <w:rsid w:val="14F06FC3"/>
    <w:rsid w:val="171804ED"/>
    <w:rsid w:val="2B08148B"/>
    <w:rsid w:val="38926838"/>
    <w:rsid w:val="3FE247E5"/>
    <w:rsid w:val="485633DE"/>
    <w:rsid w:val="4ABB39CC"/>
    <w:rsid w:val="4B893E96"/>
    <w:rsid w:val="4CE8408C"/>
    <w:rsid w:val="4CED7717"/>
    <w:rsid w:val="4EB8094F"/>
    <w:rsid w:val="501D41BE"/>
    <w:rsid w:val="50306AAF"/>
    <w:rsid w:val="50492324"/>
    <w:rsid w:val="50697A27"/>
    <w:rsid w:val="53F10205"/>
    <w:rsid w:val="5CE87197"/>
    <w:rsid w:val="5E914D18"/>
    <w:rsid w:val="60B151FE"/>
    <w:rsid w:val="60BA67A8"/>
    <w:rsid w:val="627B1F67"/>
    <w:rsid w:val="654B3E73"/>
    <w:rsid w:val="655D770D"/>
    <w:rsid w:val="66D15EF7"/>
    <w:rsid w:val="66D631C4"/>
    <w:rsid w:val="67DC30AB"/>
    <w:rsid w:val="68322BED"/>
    <w:rsid w:val="6A9040D6"/>
    <w:rsid w:val="6BF4392D"/>
    <w:rsid w:val="6C72332F"/>
    <w:rsid w:val="6C991968"/>
    <w:rsid w:val="6D2D2CEF"/>
    <w:rsid w:val="6D3266BD"/>
    <w:rsid w:val="6DD32C57"/>
    <w:rsid w:val="6F373E51"/>
    <w:rsid w:val="74221DD8"/>
    <w:rsid w:val="76991F64"/>
    <w:rsid w:val="76E00193"/>
    <w:rsid w:val="76EE5C21"/>
    <w:rsid w:val="79B34B7C"/>
    <w:rsid w:val="7A3C1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FD5B01D296949A4B0BD7BA44C611828"/>
        <w:style w:val=""/>
        <w:category>
          <w:name w:val="常规"/>
          <w:gallery w:val="placeholder"/>
        </w:category>
        <w:types>
          <w:type w:val="bbPlcHdr"/>
        </w:types>
        <w:behaviors>
          <w:behavior w:val="content"/>
        </w:behaviors>
        <w:description w:val=""/>
        <w:guid w:val="{04108BAD-A7AA-4D71-94F1-8528D6D378DA}"/>
      </w:docPartPr>
      <w:docPartBody>
        <w:p>
          <w:pPr>
            <w:pStyle w:val="5"/>
          </w:pPr>
          <w:r>
            <w:rPr>
              <w:rStyle w:val="4"/>
              <w:rFonts w:hint="eastAsia"/>
            </w:rPr>
            <w:t>单击或点击此处输入文字。</w:t>
          </w:r>
        </w:p>
      </w:docPartBody>
    </w:docPart>
    <w:docPart>
      <w:docPartPr>
        <w:name w:val="3FD4BD2388D24D1FADD3435862AD77CC"/>
        <w:style w:val=""/>
        <w:category>
          <w:name w:val="常规"/>
          <w:gallery w:val="placeholder"/>
        </w:category>
        <w:types>
          <w:type w:val="bbPlcHdr"/>
        </w:types>
        <w:behaviors>
          <w:behavior w:val="content"/>
        </w:behaviors>
        <w:description w:val=""/>
        <w:guid w:val="{ABEC1533-4E7C-4145-9C7E-A3AF217A9F7A}"/>
      </w:docPartPr>
      <w:docPartBody>
        <w:p>
          <w:pPr>
            <w:pStyle w:val="6"/>
          </w:pPr>
          <w:r>
            <w:rPr>
              <w:rStyle w:val="4"/>
              <w:rFonts w:hint="eastAsia"/>
            </w:rPr>
            <w:t>选择一项。</w:t>
          </w:r>
        </w:p>
      </w:docPartBody>
    </w:docPart>
    <w:docPart>
      <w:docPartPr>
        <w:name w:val="FEE3CBEA20E645ECB3E9834BFE621000"/>
        <w:style w:val=""/>
        <w:category>
          <w:name w:val="常规"/>
          <w:gallery w:val="placeholder"/>
        </w:category>
        <w:types>
          <w:type w:val="bbPlcHdr"/>
        </w:types>
        <w:behaviors>
          <w:behavior w:val="content"/>
        </w:behaviors>
        <w:description w:val=""/>
        <w:guid w:val="{CE7E695C-F809-4884-9412-285407779025}"/>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29B"/>
    <w:rsid w:val="00677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FD5B01D296949A4B0BD7BA44C61182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3FD4BD2388D24D1FADD3435862AD77C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FEE3CBEA20E645ECB3E9834BFE62100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E6C4DE-5F4E-4818-81AF-33BD8EEDA3E9}">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5</Pages>
  <Words>1204</Words>
  <Characters>1543</Characters>
  <Lines>64</Lines>
  <Paragraphs>58</Paragraphs>
  <TotalTime>12</TotalTime>
  <ScaleCrop>false</ScaleCrop>
  <LinksUpToDate>false</LinksUpToDate>
  <CharactersWithSpaces>1680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2022-11-17T05:23:00Z</dcterms:created>
  <dc:creator>xx</dc:creator>
  <dc:description>&lt;config cover="true" show_menu="true" version="1.0.0" doctype="SDKXY"&gt;_x000d_
&lt;/config&gt;</dc:description>
  <cp:lastModifiedBy>WPS_1664261415</cp:lastModifiedBy>
  <cp:lastPrinted>2021-02-02T08:22:00Z</cp:lastPrinted>
  <dcterms:modified xsi:type="dcterms:W3CDTF">2023-01-03T08:03:01Z</dcterms:modified>
  <dc:title>团体标准</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2052-11.1.0.12980</vt:lpwstr>
  </property>
  <property fmtid="{D5CDD505-2E9C-101B-9397-08002B2CF9AE}" pid="15" name="ICV">
    <vt:lpwstr>ACE406F4E76845D1B7585900AB057583</vt:lpwstr>
  </property>
</Properties>
</file>